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60013F">
      <w:r>
        <w:t xml:space="preserve">                                                       A király és a szegány ember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egyszer volt hol nem volt volt egyszer egy szegény ember anak nem volt pénze de egyszer arra ment a király és adott neki pénzt a szegény ember vett belöle egy hegedüt és ojan szépen zenélt hogy elkezdet gyülni a pénze és a pénz ből vett magá nak egy kis házat hozzá ajtót bele ágyat meg polcot és asztalt hozzá meg széket </w:t>
      </w:r>
      <w:r w:rsidR="005E2106">
        <w:t xml:space="preserve">meg szekrényeket </w:t>
      </w:r>
      <w:bookmarkStart w:id="0" w:name="_GoBack"/>
      <w:bookmarkEnd w:id="0"/>
      <w:r>
        <w:t xml:space="preserve">ennyi volt mese volt füle farka benne volt                                         </w:t>
      </w:r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3F"/>
    <w:rsid w:val="005E2106"/>
    <w:rsid w:val="0060013F"/>
    <w:rsid w:val="0097793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72B"/>
  <w15:chartTrackingRefBased/>
  <w15:docId w15:val="{FA6B9532-2068-4C9F-8771-AC98A229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2020-05-16T13:55:00Z</dcterms:created>
  <dcterms:modified xsi:type="dcterms:W3CDTF">2021-10-28T11:39:00Z</dcterms:modified>
</cp:coreProperties>
</file>