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38AF6" w14:textId="4ED6FC19" w:rsidR="005E778D" w:rsidRDefault="003417CF" w:rsidP="003417CF">
      <w:pPr>
        <w:jc w:val="center"/>
        <w:rPr>
          <w:b/>
          <w:bCs/>
          <w:sz w:val="28"/>
          <w:szCs w:val="28"/>
        </w:rPr>
      </w:pPr>
      <w:r w:rsidRPr="003417CF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z</w:t>
      </w:r>
      <w:r w:rsidRPr="003417CF">
        <w:rPr>
          <w:b/>
          <w:bCs/>
          <w:sz w:val="28"/>
          <w:szCs w:val="28"/>
        </w:rPr>
        <w:t>eps</w:t>
      </w:r>
      <w:r>
        <w:rPr>
          <w:b/>
          <w:bCs/>
          <w:sz w:val="28"/>
          <w:szCs w:val="28"/>
        </w:rPr>
        <w:t>z</w:t>
      </w:r>
      <w:r w:rsidRPr="003417CF">
        <w:rPr>
          <w:b/>
          <w:bCs/>
          <w:sz w:val="28"/>
          <w:szCs w:val="28"/>
        </w:rPr>
        <w:t>is</w:t>
      </w:r>
    </w:p>
    <w:p w14:paraId="3322E23A" w14:textId="5C4D873D" w:rsidR="003417CF" w:rsidRDefault="003417CF" w:rsidP="00604DDA">
      <w:pPr>
        <w:spacing w:line="360" w:lineRule="auto"/>
        <w:jc w:val="both"/>
      </w:pPr>
    </w:p>
    <w:p w14:paraId="254A0388" w14:textId="640C1FA4" w:rsidR="003417CF" w:rsidRDefault="003417CF" w:rsidP="00604DDA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Szepszis definiálása, súlyossági fokok – rizikó szintek</w:t>
      </w:r>
      <w:r>
        <w:tab/>
      </w:r>
      <w:r>
        <w:tab/>
        <w:t>790</w:t>
      </w:r>
    </w:p>
    <w:p w14:paraId="4026D50F" w14:textId="77777777" w:rsidR="00604DDA" w:rsidRDefault="00604DDA" w:rsidP="00604DDA">
      <w:pPr>
        <w:pStyle w:val="Listaszerbekezds"/>
        <w:spacing w:line="360" w:lineRule="auto"/>
        <w:jc w:val="both"/>
      </w:pPr>
    </w:p>
    <w:p w14:paraId="57454190" w14:textId="167C9680" w:rsidR="003417CF" w:rsidRDefault="003417CF" w:rsidP="00604DDA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Kórélettani hangsúlyok</w:t>
      </w:r>
      <w:r>
        <w:tab/>
      </w:r>
      <w:r>
        <w:tab/>
      </w:r>
      <w:r>
        <w:tab/>
      </w:r>
      <w:r>
        <w:tab/>
      </w:r>
      <w:r>
        <w:tab/>
      </w:r>
      <w:r>
        <w:tab/>
        <w:t>791</w:t>
      </w:r>
    </w:p>
    <w:p w14:paraId="44A671BC" w14:textId="7F100C48" w:rsidR="003417CF" w:rsidRDefault="003417CF" w:rsidP="00604DDA">
      <w:pPr>
        <w:pStyle w:val="Listaszerbekezds"/>
        <w:numPr>
          <w:ilvl w:val="1"/>
          <w:numId w:val="1"/>
        </w:numPr>
        <w:spacing w:line="360" w:lineRule="auto"/>
        <w:jc w:val="both"/>
      </w:pPr>
      <w:r>
        <w:t>szisztémás válaszreakció</w:t>
      </w:r>
      <w:r>
        <w:tab/>
      </w:r>
      <w:r>
        <w:tab/>
      </w:r>
      <w:r>
        <w:tab/>
      </w:r>
      <w:r>
        <w:tab/>
        <w:t>791</w:t>
      </w:r>
    </w:p>
    <w:p w14:paraId="25B41D12" w14:textId="35FF8033" w:rsidR="003417CF" w:rsidRDefault="003417CF" w:rsidP="00604DDA">
      <w:pPr>
        <w:pStyle w:val="Listaszerbekezds"/>
        <w:numPr>
          <w:ilvl w:val="1"/>
          <w:numId w:val="1"/>
        </w:numPr>
        <w:spacing w:line="360" w:lineRule="auto"/>
        <w:jc w:val="both"/>
      </w:pPr>
      <w:proofErr w:type="spellStart"/>
      <w:r>
        <w:t>endotheliális</w:t>
      </w:r>
      <w:proofErr w:type="spellEnd"/>
      <w:r>
        <w:t xml:space="preserve"> felszín szerepe</w:t>
      </w:r>
      <w:r>
        <w:tab/>
      </w:r>
      <w:r>
        <w:tab/>
      </w:r>
      <w:r>
        <w:tab/>
      </w:r>
      <w:r>
        <w:tab/>
        <w:t>792</w:t>
      </w:r>
    </w:p>
    <w:p w14:paraId="25E5F321" w14:textId="46FEFA95" w:rsidR="003417CF" w:rsidRDefault="003417CF" w:rsidP="00604DDA">
      <w:pPr>
        <w:pStyle w:val="Listaszerbekezds"/>
        <w:numPr>
          <w:ilvl w:val="1"/>
          <w:numId w:val="1"/>
        </w:numPr>
        <w:spacing w:line="360" w:lineRule="auto"/>
        <w:jc w:val="both"/>
      </w:pPr>
      <w:r>
        <w:t>laktát szerepe</w:t>
      </w:r>
      <w:r>
        <w:tab/>
      </w:r>
      <w:r>
        <w:tab/>
      </w:r>
      <w:r>
        <w:tab/>
      </w:r>
      <w:r>
        <w:tab/>
      </w:r>
      <w:r>
        <w:tab/>
      </w:r>
      <w:r>
        <w:tab/>
        <w:t>792</w:t>
      </w:r>
    </w:p>
    <w:p w14:paraId="3EDFF2DB" w14:textId="77777777" w:rsidR="00604DDA" w:rsidRDefault="00604DDA" w:rsidP="00604DDA">
      <w:pPr>
        <w:pStyle w:val="Listaszerbekezds"/>
        <w:spacing w:line="360" w:lineRule="auto"/>
        <w:ind w:left="1440"/>
        <w:jc w:val="both"/>
      </w:pPr>
    </w:p>
    <w:p w14:paraId="662437C6" w14:textId="0B6B204F" w:rsidR="003417CF" w:rsidRDefault="003417CF" w:rsidP="00604DDA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Szepszis tünetegyüttes kórszerű ellátása</w:t>
      </w:r>
      <w:r>
        <w:tab/>
      </w:r>
      <w:r>
        <w:tab/>
      </w:r>
      <w:r>
        <w:tab/>
        <w:t>793</w:t>
      </w:r>
    </w:p>
    <w:p w14:paraId="27C32F6C" w14:textId="398D0A41" w:rsidR="003417CF" w:rsidRDefault="003417CF" w:rsidP="00604DDA">
      <w:pPr>
        <w:pStyle w:val="Listaszerbekezds"/>
        <w:numPr>
          <w:ilvl w:val="1"/>
          <w:numId w:val="1"/>
        </w:numPr>
        <w:spacing w:line="360" w:lineRule="auto"/>
        <w:jc w:val="both"/>
      </w:pPr>
      <w:r>
        <w:t>Korai felismerés</w:t>
      </w:r>
      <w:r>
        <w:tab/>
      </w:r>
      <w:r>
        <w:tab/>
      </w:r>
      <w:r>
        <w:tab/>
      </w:r>
      <w:r>
        <w:tab/>
      </w:r>
      <w:r>
        <w:tab/>
        <w:t>793</w:t>
      </w:r>
    </w:p>
    <w:p w14:paraId="72CF2AFD" w14:textId="0FF89BBD" w:rsidR="003417CF" w:rsidRDefault="003417CF" w:rsidP="00604DDA">
      <w:pPr>
        <w:pStyle w:val="Listaszerbekezds"/>
        <w:numPr>
          <w:ilvl w:val="1"/>
          <w:numId w:val="1"/>
        </w:numPr>
        <w:spacing w:line="360" w:lineRule="auto"/>
        <w:jc w:val="both"/>
      </w:pPr>
      <w:r>
        <w:t>Megfelelő oxigénkínálat biztosítása</w:t>
      </w:r>
      <w:r>
        <w:tab/>
      </w:r>
      <w:r>
        <w:tab/>
      </w:r>
      <w:r>
        <w:tab/>
        <w:t>795</w:t>
      </w:r>
    </w:p>
    <w:p w14:paraId="4F7B5E6D" w14:textId="4D6A6124" w:rsidR="003417CF" w:rsidRDefault="00E8570D" w:rsidP="00604DDA">
      <w:pPr>
        <w:pStyle w:val="Listaszerbekezds"/>
        <w:numPr>
          <w:ilvl w:val="1"/>
          <w:numId w:val="1"/>
        </w:numPr>
        <w:spacing w:line="360" w:lineRule="auto"/>
        <w:jc w:val="both"/>
      </w:pPr>
      <w:proofErr w:type="spellStart"/>
      <w:r>
        <w:t>hemodinamikai</w:t>
      </w:r>
      <w:proofErr w:type="spellEnd"/>
      <w:r>
        <w:t xml:space="preserve"> </w:t>
      </w:r>
      <w:proofErr w:type="spellStart"/>
      <w:r>
        <w:t>stabilizásás</w:t>
      </w:r>
      <w:proofErr w:type="spellEnd"/>
      <w:r>
        <w:tab/>
      </w:r>
      <w:r>
        <w:tab/>
      </w:r>
      <w:r>
        <w:tab/>
      </w:r>
      <w:r>
        <w:tab/>
        <w:t>796</w:t>
      </w:r>
    </w:p>
    <w:p w14:paraId="051D7A46" w14:textId="7139D8D9" w:rsidR="00E8570D" w:rsidRDefault="00E8570D" w:rsidP="00604DDA">
      <w:pPr>
        <w:pStyle w:val="Listaszerbekezds"/>
        <w:numPr>
          <w:ilvl w:val="2"/>
          <w:numId w:val="1"/>
        </w:numPr>
        <w:spacing w:line="360" w:lineRule="auto"/>
        <w:jc w:val="both"/>
      </w:pPr>
      <w:r>
        <w:t xml:space="preserve">volumen </w:t>
      </w:r>
      <w:proofErr w:type="spellStart"/>
      <w:r>
        <w:t>reszuszcitáció</w:t>
      </w:r>
      <w:proofErr w:type="spellEnd"/>
      <w:r>
        <w:tab/>
      </w:r>
      <w:r>
        <w:tab/>
      </w:r>
      <w:r>
        <w:tab/>
      </w:r>
      <w:r>
        <w:tab/>
        <w:t>797</w:t>
      </w:r>
    </w:p>
    <w:p w14:paraId="5340E79B" w14:textId="24C95935" w:rsidR="00E8570D" w:rsidRDefault="00E8570D" w:rsidP="00604DDA">
      <w:pPr>
        <w:pStyle w:val="Listaszerbekezds"/>
        <w:numPr>
          <w:ilvl w:val="2"/>
          <w:numId w:val="1"/>
        </w:numPr>
        <w:spacing w:line="360" w:lineRule="auto"/>
        <w:jc w:val="both"/>
      </w:pPr>
      <w:proofErr w:type="spellStart"/>
      <w:r>
        <w:t>vazoaktív</w:t>
      </w:r>
      <w:proofErr w:type="spellEnd"/>
      <w:r>
        <w:t xml:space="preserve"> kezelés</w:t>
      </w:r>
      <w:r>
        <w:tab/>
      </w:r>
      <w:r>
        <w:tab/>
      </w:r>
      <w:r>
        <w:tab/>
      </w:r>
      <w:r>
        <w:tab/>
        <w:t>798</w:t>
      </w:r>
    </w:p>
    <w:p w14:paraId="5B701A8C" w14:textId="0EA21D08" w:rsidR="00E8570D" w:rsidRDefault="00E8570D" w:rsidP="00604DDA">
      <w:pPr>
        <w:pStyle w:val="Listaszerbekezds"/>
        <w:numPr>
          <w:ilvl w:val="2"/>
          <w:numId w:val="1"/>
        </w:numPr>
        <w:spacing w:line="360" w:lineRule="auto"/>
        <w:jc w:val="both"/>
      </w:pPr>
      <w:proofErr w:type="spellStart"/>
      <w:r>
        <w:t>inotróp</w:t>
      </w:r>
      <w:proofErr w:type="spellEnd"/>
      <w:r>
        <w:t xml:space="preserve"> kezelés</w:t>
      </w:r>
      <w:r>
        <w:tab/>
      </w:r>
      <w:r>
        <w:tab/>
      </w:r>
      <w:r>
        <w:tab/>
      </w:r>
      <w:r>
        <w:tab/>
      </w:r>
      <w:r>
        <w:tab/>
        <w:t>798</w:t>
      </w:r>
    </w:p>
    <w:p w14:paraId="7C4081BC" w14:textId="3A02EE0C" w:rsidR="00E8570D" w:rsidRDefault="00E8570D" w:rsidP="00604DDA">
      <w:pPr>
        <w:pStyle w:val="Listaszerbekezds"/>
        <w:numPr>
          <w:ilvl w:val="2"/>
          <w:numId w:val="1"/>
        </w:numPr>
        <w:spacing w:line="360" w:lineRule="auto"/>
        <w:jc w:val="both"/>
      </w:pPr>
      <w:r>
        <w:t>oxigén-karrier pótlása (</w:t>
      </w:r>
      <w:proofErr w:type="spellStart"/>
      <w:r>
        <w:t>trafóÖ</w:t>
      </w:r>
      <w:proofErr w:type="spellEnd"/>
      <w:r>
        <w:tab/>
      </w:r>
      <w:r>
        <w:tab/>
      </w:r>
      <w:r>
        <w:tab/>
        <w:t>799</w:t>
      </w:r>
    </w:p>
    <w:p w14:paraId="463DD6E8" w14:textId="0D530804" w:rsidR="00E8570D" w:rsidRDefault="00E8570D" w:rsidP="00604DDA">
      <w:pPr>
        <w:pStyle w:val="Listaszerbekezds"/>
        <w:numPr>
          <w:ilvl w:val="1"/>
          <w:numId w:val="1"/>
        </w:numPr>
        <w:spacing w:line="360" w:lineRule="auto"/>
        <w:jc w:val="both"/>
      </w:pPr>
      <w:r>
        <w:t>Korai infekció kontroll</w:t>
      </w:r>
      <w:r>
        <w:tab/>
      </w:r>
      <w:r>
        <w:tab/>
      </w:r>
      <w:r>
        <w:tab/>
      </w:r>
      <w:r>
        <w:tab/>
      </w:r>
      <w:r>
        <w:tab/>
        <w:t>799</w:t>
      </w:r>
    </w:p>
    <w:p w14:paraId="456741D1" w14:textId="558E9F74" w:rsidR="00E8570D" w:rsidRDefault="00E8570D" w:rsidP="00604DDA">
      <w:pPr>
        <w:pStyle w:val="Listaszerbekezds"/>
        <w:numPr>
          <w:ilvl w:val="2"/>
          <w:numId w:val="1"/>
        </w:numPr>
        <w:spacing w:line="360" w:lineRule="auto"/>
        <w:jc w:val="both"/>
      </w:pPr>
      <w:r>
        <w:t>korai diagnosztika</w:t>
      </w:r>
      <w:r>
        <w:tab/>
      </w:r>
      <w:r>
        <w:tab/>
      </w:r>
      <w:r>
        <w:tab/>
      </w:r>
      <w:r>
        <w:tab/>
        <w:t>799</w:t>
      </w:r>
    </w:p>
    <w:p w14:paraId="5B8809EB" w14:textId="2E7DE4DE" w:rsidR="00E8570D" w:rsidRDefault="00E8570D" w:rsidP="00604DDA">
      <w:pPr>
        <w:pStyle w:val="Listaszerbekezds"/>
        <w:numPr>
          <w:ilvl w:val="3"/>
          <w:numId w:val="1"/>
        </w:numPr>
        <w:spacing w:line="360" w:lineRule="auto"/>
        <w:jc w:val="both"/>
      </w:pPr>
      <w:proofErr w:type="spellStart"/>
      <w:r>
        <w:t>PoCT</w:t>
      </w:r>
      <w:proofErr w:type="spellEnd"/>
      <w:r>
        <w:t>, UH</w:t>
      </w:r>
      <w:r>
        <w:tab/>
      </w:r>
      <w:r>
        <w:tab/>
      </w:r>
      <w:r>
        <w:tab/>
      </w:r>
      <w:r>
        <w:tab/>
        <w:t>799</w:t>
      </w:r>
    </w:p>
    <w:p w14:paraId="2EC1EA06" w14:textId="57C05F20" w:rsidR="00E8570D" w:rsidRDefault="00E8570D" w:rsidP="00604DDA">
      <w:pPr>
        <w:pStyle w:val="Listaszerbekezds"/>
        <w:numPr>
          <w:ilvl w:val="3"/>
          <w:numId w:val="1"/>
        </w:numPr>
        <w:spacing w:line="360" w:lineRule="auto"/>
        <w:jc w:val="both"/>
      </w:pPr>
      <w:r>
        <w:t>mikrobiológiai mintavétel</w:t>
      </w:r>
      <w:r>
        <w:tab/>
      </w:r>
      <w:r>
        <w:tab/>
        <w:t>799</w:t>
      </w:r>
    </w:p>
    <w:p w14:paraId="0A0E2386" w14:textId="333A0F3E" w:rsidR="00E8570D" w:rsidRDefault="00E8570D" w:rsidP="00604DDA">
      <w:pPr>
        <w:pStyle w:val="Listaszerbekezds"/>
        <w:numPr>
          <w:ilvl w:val="3"/>
          <w:numId w:val="1"/>
        </w:numPr>
        <w:spacing w:line="360" w:lineRule="auto"/>
        <w:jc w:val="both"/>
      </w:pPr>
      <w:r>
        <w:t>képalkotó</w:t>
      </w:r>
      <w:r>
        <w:tab/>
      </w:r>
      <w:r>
        <w:tab/>
      </w:r>
      <w:r>
        <w:tab/>
      </w:r>
      <w:r>
        <w:tab/>
        <w:t>800</w:t>
      </w:r>
    </w:p>
    <w:p w14:paraId="5567860E" w14:textId="65D7F472" w:rsidR="00E8570D" w:rsidRDefault="00E8570D" w:rsidP="00604DDA">
      <w:pPr>
        <w:pStyle w:val="Listaszerbekezds"/>
        <w:numPr>
          <w:ilvl w:val="3"/>
          <w:numId w:val="1"/>
        </w:numPr>
        <w:spacing w:line="360" w:lineRule="auto"/>
        <w:jc w:val="both"/>
      </w:pPr>
      <w:r>
        <w:t>további labor (</w:t>
      </w:r>
      <w:proofErr w:type="gramStart"/>
      <w:r>
        <w:t>CRP,PTC</w:t>
      </w:r>
      <w:proofErr w:type="gramEnd"/>
      <w:r>
        <w:t>)</w:t>
      </w:r>
      <w:r>
        <w:tab/>
      </w:r>
      <w:r>
        <w:tab/>
        <w:t>800</w:t>
      </w:r>
    </w:p>
    <w:p w14:paraId="25FBC4BC" w14:textId="5E29E5B2" w:rsidR="00E8570D" w:rsidRDefault="00E8570D" w:rsidP="00604DDA">
      <w:pPr>
        <w:pStyle w:val="Listaszerbekezds"/>
        <w:numPr>
          <w:ilvl w:val="2"/>
          <w:numId w:val="1"/>
        </w:numPr>
        <w:spacing w:line="360" w:lineRule="auto"/>
        <w:jc w:val="both"/>
      </w:pPr>
      <w:r>
        <w:t xml:space="preserve">korai </w:t>
      </w:r>
      <w:proofErr w:type="spellStart"/>
      <w:r>
        <w:t>antimikrobás</w:t>
      </w:r>
      <w:proofErr w:type="spellEnd"/>
      <w:r>
        <w:t xml:space="preserve"> kezelés</w:t>
      </w:r>
      <w:r>
        <w:tab/>
      </w:r>
      <w:r>
        <w:tab/>
      </w:r>
      <w:r>
        <w:tab/>
        <w:t>801</w:t>
      </w:r>
    </w:p>
    <w:p w14:paraId="085DC991" w14:textId="260E52B3" w:rsidR="00604DDA" w:rsidRDefault="00604DDA" w:rsidP="00604DDA">
      <w:pPr>
        <w:pStyle w:val="Listaszerbekezds"/>
        <w:numPr>
          <w:ilvl w:val="2"/>
          <w:numId w:val="1"/>
        </w:numPr>
        <w:spacing w:line="360" w:lineRule="auto"/>
        <w:jc w:val="both"/>
      </w:pPr>
      <w:r>
        <w:t>szepszis korai eliminálás</w:t>
      </w:r>
      <w:r>
        <w:tab/>
      </w:r>
      <w:r>
        <w:tab/>
      </w:r>
      <w:r>
        <w:tab/>
        <w:t>802</w:t>
      </w:r>
    </w:p>
    <w:p w14:paraId="64BBA26C" w14:textId="535410FA" w:rsidR="00E8570D" w:rsidRDefault="00604DDA" w:rsidP="00604DDA">
      <w:pPr>
        <w:pStyle w:val="Listaszerbekezds"/>
        <w:numPr>
          <w:ilvl w:val="1"/>
          <w:numId w:val="1"/>
        </w:numPr>
        <w:spacing w:line="360" w:lineRule="auto"/>
        <w:jc w:val="both"/>
      </w:pPr>
      <w:r>
        <w:t xml:space="preserve">Megfelelő </w:t>
      </w:r>
      <w:proofErr w:type="spellStart"/>
      <w:r>
        <w:t>monitorizálás</w:t>
      </w:r>
      <w:proofErr w:type="spellEnd"/>
      <w:r>
        <w:tab/>
      </w:r>
      <w:r>
        <w:tab/>
      </w:r>
      <w:r>
        <w:tab/>
      </w:r>
      <w:r>
        <w:tab/>
        <w:t>802</w:t>
      </w:r>
    </w:p>
    <w:p w14:paraId="39CC9F57" w14:textId="5BD922F5" w:rsidR="00604DDA" w:rsidRDefault="00604DDA" w:rsidP="00604DDA">
      <w:pPr>
        <w:pStyle w:val="Listaszerbekezds"/>
        <w:numPr>
          <w:ilvl w:val="1"/>
          <w:numId w:val="1"/>
        </w:numPr>
        <w:spacing w:line="360" w:lineRule="auto"/>
        <w:jc w:val="both"/>
      </w:pPr>
      <w:r>
        <w:t xml:space="preserve">Egyéb </w:t>
      </w:r>
      <w:proofErr w:type="spellStart"/>
      <w:r>
        <w:t>adjuváns</w:t>
      </w:r>
      <w:proofErr w:type="spellEnd"/>
      <w:r>
        <w:t xml:space="preserve"> kezelés</w:t>
      </w:r>
      <w:r>
        <w:tab/>
      </w:r>
      <w:r>
        <w:tab/>
      </w:r>
      <w:r>
        <w:tab/>
      </w:r>
      <w:r>
        <w:tab/>
      </w:r>
      <w:r>
        <w:tab/>
        <w:t>804</w:t>
      </w:r>
    </w:p>
    <w:p w14:paraId="5168B697" w14:textId="15687ACD" w:rsidR="00604DDA" w:rsidRDefault="00604DDA" w:rsidP="00604DDA">
      <w:pPr>
        <w:pStyle w:val="Listaszerbekezds"/>
        <w:numPr>
          <w:ilvl w:val="1"/>
          <w:numId w:val="1"/>
        </w:numPr>
        <w:spacing w:line="360" w:lineRule="auto"/>
        <w:jc w:val="both"/>
      </w:pPr>
      <w:r>
        <w:t>Szervezeti és minőségi elemek</w:t>
      </w:r>
      <w:r>
        <w:tab/>
      </w:r>
      <w:r>
        <w:tab/>
      </w:r>
      <w:r>
        <w:tab/>
      </w:r>
      <w:r>
        <w:tab/>
        <w:t>805</w:t>
      </w:r>
    </w:p>
    <w:p w14:paraId="7F462961" w14:textId="15687ACD" w:rsidR="003417CF" w:rsidRDefault="00604DDA" w:rsidP="003417CF">
      <w:pPr>
        <w:pStyle w:val="Listaszerbekezds"/>
        <w:numPr>
          <w:ilvl w:val="0"/>
          <w:numId w:val="1"/>
        </w:numPr>
        <w:jc w:val="both"/>
      </w:pPr>
      <w:r>
        <w:t>812. o</w:t>
      </w:r>
    </w:p>
    <w:p w14:paraId="78D692D6" w14:textId="382698EF" w:rsidR="00604DDA" w:rsidRDefault="00604DDA" w:rsidP="003417CF">
      <w:pPr>
        <w:pStyle w:val="Listaszerbekezds"/>
        <w:numPr>
          <w:ilvl w:val="0"/>
          <w:numId w:val="1"/>
        </w:numPr>
        <w:jc w:val="both"/>
      </w:pPr>
      <w:r>
        <w:t>ábrák: 815-819</w:t>
      </w:r>
    </w:p>
    <w:p w14:paraId="06967F36" w14:textId="77777777" w:rsidR="00604DDA" w:rsidRDefault="00604DDA" w:rsidP="00604DDA">
      <w:pPr>
        <w:pStyle w:val="Listaszerbekezds"/>
        <w:numPr>
          <w:ilvl w:val="1"/>
          <w:numId w:val="1"/>
        </w:numPr>
        <w:jc w:val="both"/>
        <w:sectPr w:rsidR="00604DD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C5D241" w14:textId="62E8EA6D" w:rsidR="00604DDA" w:rsidRDefault="00604DDA" w:rsidP="00604DDA">
      <w:pPr>
        <w:pStyle w:val="Listaszerbekezds"/>
        <w:numPr>
          <w:ilvl w:val="1"/>
          <w:numId w:val="1"/>
        </w:numPr>
        <w:jc w:val="both"/>
      </w:pPr>
      <w:r>
        <w:t>szepszis értelmezés</w:t>
      </w:r>
    </w:p>
    <w:p w14:paraId="1C76540E" w14:textId="46214E5B" w:rsidR="00604DDA" w:rsidRDefault="00604DDA" w:rsidP="00604DDA">
      <w:pPr>
        <w:pStyle w:val="Listaszerbekezds"/>
        <w:numPr>
          <w:ilvl w:val="1"/>
          <w:numId w:val="1"/>
        </w:numPr>
        <w:jc w:val="both"/>
      </w:pPr>
      <w:r>
        <w:t>SIRS tünetegyüttes</w:t>
      </w:r>
    </w:p>
    <w:p w14:paraId="06C7CCFB" w14:textId="332239C6" w:rsidR="00604DDA" w:rsidRDefault="00604DDA" w:rsidP="00604DDA">
      <w:pPr>
        <w:pStyle w:val="Listaszerbekezds"/>
        <w:numPr>
          <w:ilvl w:val="1"/>
          <w:numId w:val="1"/>
        </w:numPr>
        <w:jc w:val="both"/>
      </w:pPr>
      <w:r>
        <w:t>Anamnézis</w:t>
      </w:r>
    </w:p>
    <w:p w14:paraId="430F3599" w14:textId="4C2406E5" w:rsidR="00604DDA" w:rsidRDefault="00604DDA" w:rsidP="00604DDA">
      <w:pPr>
        <w:pStyle w:val="Listaszerbekezds"/>
        <w:numPr>
          <w:ilvl w:val="1"/>
          <w:numId w:val="1"/>
        </w:numPr>
        <w:jc w:val="both"/>
      </w:pPr>
      <w:r>
        <w:t>Súlyos szepszis jelei</w:t>
      </w:r>
    </w:p>
    <w:p w14:paraId="1D29536A" w14:textId="626E470F" w:rsidR="00604DDA" w:rsidRDefault="00604DDA" w:rsidP="00604DDA">
      <w:pPr>
        <w:pStyle w:val="Listaszerbekezds"/>
        <w:numPr>
          <w:ilvl w:val="1"/>
          <w:numId w:val="1"/>
        </w:numPr>
        <w:jc w:val="both"/>
      </w:pPr>
      <w:r>
        <w:t>több szempont együttes értékelése</w:t>
      </w:r>
    </w:p>
    <w:p w14:paraId="3BA90482" w14:textId="241B1D61" w:rsidR="00604DDA" w:rsidRDefault="00604DDA" w:rsidP="00604DDA">
      <w:pPr>
        <w:pStyle w:val="Listaszerbekezds"/>
        <w:numPr>
          <w:ilvl w:val="1"/>
          <w:numId w:val="1"/>
        </w:numPr>
        <w:jc w:val="both"/>
      </w:pPr>
      <w:r>
        <w:t xml:space="preserve">korai felismerés, </w:t>
      </w:r>
      <w:proofErr w:type="spellStart"/>
      <w:r>
        <w:t>triázs</w:t>
      </w:r>
      <w:proofErr w:type="spellEnd"/>
    </w:p>
    <w:p w14:paraId="3F42D2C0" w14:textId="00985188" w:rsidR="00604DDA" w:rsidRDefault="00604DDA" w:rsidP="00604DDA">
      <w:pPr>
        <w:pStyle w:val="Listaszerbekezds"/>
        <w:numPr>
          <w:ilvl w:val="1"/>
          <w:numId w:val="1"/>
        </w:numPr>
        <w:jc w:val="both"/>
      </w:pPr>
      <w:r>
        <w:lastRenderedPageBreak/>
        <w:t xml:space="preserve">korai </w:t>
      </w:r>
      <w:proofErr w:type="spellStart"/>
      <w:r>
        <w:t>célvezérelt</w:t>
      </w:r>
      <w:proofErr w:type="spellEnd"/>
      <w:r>
        <w:t xml:space="preserve"> kezelés</w:t>
      </w:r>
    </w:p>
    <w:p w14:paraId="6E7C90CA" w14:textId="17DA8338" w:rsidR="00604DDA" w:rsidRDefault="00604DDA" w:rsidP="00604DDA">
      <w:pPr>
        <w:pStyle w:val="Listaszerbekezds"/>
        <w:numPr>
          <w:ilvl w:val="1"/>
          <w:numId w:val="1"/>
        </w:numPr>
        <w:jc w:val="both"/>
      </w:pPr>
      <w:r>
        <w:t>szepszis hat</w:t>
      </w:r>
    </w:p>
    <w:p w14:paraId="34E8C3CB" w14:textId="6CF38B42" w:rsidR="00C50AF2" w:rsidRDefault="00C50AF2" w:rsidP="00C50AF2">
      <w:pPr>
        <w:jc w:val="both"/>
      </w:pPr>
      <w:r w:rsidRPr="00C50AF2">
        <w:drawing>
          <wp:inline distT="0" distB="0" distL="0" distR="0" wp14:anchorId="3C6C237C" wp14:editId="05A3835F">
            <wp:extent cx="5044440" cy="3645825"/>
            <wp:effectExtent l="0" t="0" r="3810" b="0"/>
            <wp:docPr id="6" name="Kép 5" descr="A képen szöveg, sportjátékok, sport látható&#10;&#10;Automatikusan generált leírás">
              <a:extLst xmlns:a="http://schemas.openxmlformats.org/drawingml/2006/main">
                <a:ext uri="{FF2B5EF4-FFF2-40B4-BE49-F238E27FC236}">
                  <a16:creationId xmlns:a16="http://schemas.microsoft.com/office/drawing/2014/main" id="{00674FAE-2C41-4892-824C-5BCC583F1F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5" descr="A képen szöveg, sportjátékok, sport látható&#10;&#10;Automatikusan generált leírás">
                      <a:extLst>
                        <a:ext uri="{FF2B5EF4-FFF2-40B4-BE49-F238E27FC236}">
                          <a16:creationId xmlns:a16="http://schemas.microsoft.com/office/drawing/2014/main" id="{00674FAE-2C41-4892-824C-5BCC583F1F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773" cy="366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24236" w14:textId="0CABAC2D" w:rsidR="004C5DCB" w:rsidRDefault="004C5DCB" w:rsidP="00C50AF2">
      <w:pPr>
        <w:jc w:val="both"/>
      </w:pPr>
    </w:p>
    <w:p w14:paraId="30F8EF19" w14:textId="77777777" w:rsidR="004C5DCB" w:rsidRDefault="004C5DCB" w:rsidP="00C50AF2">
      <w:pPr>
        <w:jc w:val="both"/>
      </w:pPr>
    </w:p>
    <w:p w14:paraId="5DD70791" w14:textId="3B4F8FD3" w:rsidR="00C50AF2" w:rsidRDefault="00C50AF2" w:rsidP="00C50AF2">
      <w:pPr>
        <w:jc w:val="both"/>
      </w:pPr>
      <w:r w:rsidRPr="00C50AF2">
        <w:drawing>
          <wp:inline distT="0" distB="0" distL="0" distR="0" wp14:anchorId="14066536" wp14:editId="411B8E8F">
            <wp:extent cx="5509260" cy="2552214"/>
            <wp:effectExtent l="0" t="0" r="0" b="635"/>
            <wp:docPr id="8" name="Kép 7" descr="A képen szöveg látható&#10;&#10;Automatikusan generált leírás">
              <a:extLst xmlns:a="http://schemas.openxmlformats.org/drawingml/2006/main">
                <a:ext uri="{FF2B5EF4-FFF2-40B4-BE49-F238E27FC236}">
                  <a16:creationId xmlns:a16="http://schemas.microsoft.com/office/drawing/2014/main" id="{CD4E480E-3F74-41B5-968D-98D074E7D4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ép 7" descr="A képen szöveg látható&#10;&#10;Automatikusan generált leírás">
                      <a:extLst>
                        <a:ext uri="{FF2B5EF4-FFF2-40B4-BE49-F238E27FC236}">
                          <a16:creationId xmlns:a16="http://schemas.microsoft.com/office/drawing/2014/main" id="{CD4E480E-3F74-41B5-968D-98D074E7D4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535" cy="256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D571C" w14:textId="1EA86F84" w:rsidR="00C50AF2" w:rsidRDefault="00C50AF2" w:rsidP="00C50AF2">
      <w:pPr>
        <w:jc w:val="both"/>
      </w:pPr>
      <w:r w:rsidRPr="00C50AF2">
        <w:lastRenderedPageBreak/>
        <w:drawing>
          <wp:inline distT="0" distB="0" distL="0" distR="0" wp14:anchorId="6A8962A9" wp14:editId="1DAD5BD3">
            <wp:extent cx="3977640" cy="4389666"/>
            <wp:effectExtent l="0" t="0" r="3810" b="0"/>
            <wp:docPr id="10" name="Kép 9">
              <a:extLst xmlns:a="http://schemas.openxmlformats.org/drawingml/2006/main">
                <a:ext uri="{FF2B5EF4-FFF2-40B4-BE49-F238E27FC236}">
                  <a16:creationId xmlns:a16="http://schemas.microsoft.com/office/drawing/2014/main" id="{61398170-687C-4605-8171-67CDBE326C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ép 9">
                      <a:extLst>
                        <a:ext uri="{FF2B5EF4-FFF2-40B4-BE49-F238E27FC236}">
                          <a16:creationId xmlns:a16="http://schemas.microsoft.com/office/drawing/2014/main" id="{61398170-687C-4605-8171-67CDBE326C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187" cy="439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AE7D4" w14:textId="681E88BE" w:rsidR="004C5DCB" w:rsidRDefault="004C5DCB" w:rsidP="00C50AF2">
      <w:pPr>
        <w:jc w:val="both"/>
      </w:pPr>
    </w:p>
    <w:p w14:paraId="7670DAEE" w14:textId="77777777" w:rsidR="004C5DCB" w:rsidRDefault="004C5DCB" w:rsidP="00C50AF2">
      <w:pPr>
        <w:jc w:val="both"/>
      </w:pPr>
    </w:p>
    <w:p w14:paraId="401444CD" w14:textId="3569C28A" w:rsidR="00C50AF2" w:rsidRDefault="00C50AF2" w:rsidP="00C50AF2">
      <w:pPr>
        <w:jc w:val="both"/>
      </w:pPr>
      <w:r w:rsidRPr="00C50AF2">
        <w:drawing>
          <wp:inline distT="0" distB="0" distL="0" distR="0" wp14:anchorId="685A0716" wp14:editId="66EB335E">
            <wp:extent cx="5386235" cy="2796540"/>
            <wp:effectExtent l="0" t="0" r="5080" b="3810"/>
            <wp:docPr id="12" name="Kép 11" descr="A képen szöveg látható&#10;&#10;Automatikusan generált leírás">
              <a:extLst xmlns:a="http://schemas.openxmlformats.org/drawingml/2006/main">
                <a:ext uri="{FF2B5EF4-FFF2-40B4-BE49-F238E27FC236}">
                  <a16:creationId xmlns:a16="http://schemas.microsoft.com/office/drawing/2014/main" id="{114DCA6A-6FA0-4A65-A564-F479FAA8DA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ép 11" descr="A képen szöveg látható&#10;&#10;Automatikusan generált leírás">
                      <a:extLst>
                        <a:ext uri="{FF2B5EF4-FFF2-40B4-BE49-F238E27FC236}">
                          <a16:creationId xmlns:a16="http://schemas.microsoft.com/office/drawing/2014/main" id="{114DCA6A-6FA0-4A65-A564-F479FAA8DA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9111" cy="279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B00F1" w14:textId="77777777" w:rsidR="004C5DCB" w:rsidRDefault="00C50AF2" w:rsidP="00C50AF2">
      <w:pPr>
        <w:jc w:val="both"/>
      </w:pPr>
      <w:r w:rsidRPr="00C50AF2">
        <w:lastRenderedPageBreak/>
        <w:drawing>
          <wp:inline distT="0" distB="0" distL="0" distR="0" wp14:anchorId="61205DFF" wp14:editId="51061BF3">
            <wp:extent cx="5410200" cy="4015440"/>
            <wp:effectExtent l="0" t="0" r="0" b="4445"/>
            <wp:docPr id="16" name="Kép 15">
              <a:extLst xmlns:a="http://schemas.openxmlformats.org/drawingml/2006/main">
                <a:ext uri="{FF2B5EF4-FFF2-40B4-BE49-F238E27FC236}">
                  <a16:creationId xmlns:a16="http://schemas.microsoft.com/office/drawing/2014/main" id="{BCBCAA87-D4EE-4851-8B75-B68292BBEB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ép 15">
                      <a:extLst>
                        <a:ext uri="{FF2B5EF4-FFF2-40B4-BE49-F238E27FC236}">
                          <a16:creationId xmlns:a16="http://schemas.microsoft.com/office/drawing/2014/main" id="{BCBCAA87-D4EE-4851-8B75-B68292BBEB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637" cy="402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0AF2">
        <w:drawing>
          <wp:inline distT="0" distB="0" distL="0" distR="0" wp14:anchorId="29720E07" wp14:editId="5B6BBE73">
            <wp:extent cx="4754880" cy="3992927"/>
            <wp:effectExtent l="0" t="0" r="7620" b="7620"/>
            <wp:docPr id="18" name="Kép 17">
              <a:extLst xmlns:a="http://schemas.openxmlformats.org/drawingml/2006/main">
                <a:ext uri="{FF2B5EF4-FFF2-40B4-BE49-F238E27FC236}">
                  <a16:creationId xmlns:a16="http://schemas.microsoft.com/office/drawing/2014/main" id="{C2A2617A-6548-4F97-A5EA-7A6A705670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ép 17">
                      <a:extLst>
                        <a:ext uri="{FF2B5EF4-FFF2-40B4-BE49-F238E27FC236}">
                          <a16:creationId xmlns:a16="http://schemas.microsoft.com/office/drawing/2014/main" id="{C2A2617A-6548-4F97-A5EA-7A6A705670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399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0AF2">
        <w:lastRenderedPageBreak/>
        <w:drawing>
          <wp:inline distT="0" distB="0" distL="0" distR="0" wp14:anchorId="4B31F7CD" wp14:editId="558431AB">
            <wp:extent cx="5082980" cy="3955123"/>
            <wp:effectExtent l="0" t="0" r="3810" b="7620"/>
            <wp:docPr id="20" name="Kép 19">
              <a:extLst xmlns:a="http://schemas.openxmlformats.org/drawingml/2006/main">
                <a:ext uri="{FF2B5EF4-FFF2-40B4-BE49-F238E27FC236}">
                  <a16:creationId xmlns:a16="http://schemas.microsoft.com/office/drawing/2014/main" id="{0A6EF980-CFAC-4707-93E2-5740533A64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Kép 19">
                      <a:extLst>
                        <a:ext uri="{FF2B5EF4-FFF2-40B4-BE49-F238E27FC236}">
                          <a16:creationId xmlns:a16="http://schemas.microsoft.com/office/drawing/2014/main" id="{0A6EF980-CFAC-4707-93E2-5740533A64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2980" cy="395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47C6B" w14:textId="77777777" w:rsidR="004C5DCB" w:rsidRDefault="004C5DCB" w:rsidP="00C50AF2">
      <w:pPr>
        <w:jc w:val="both"/>
      </w:pPr>
    </w:p>
    <w:p w14:paraId="0D691DC6" w14:textId="77777777" w:rsidR="004C5DCB" w:rsidRDefault="004C5DCB" w:rsidP="00C50AF2">
      <w:pPr>
        <w:jc w:val="both"/>
      </w:pPr>
    </w:p>
    <w:p w14:paraId="0B15523B" w14:textId="77777777" w:rsidR="004C5DCB" w:rsidRDefault="004C5DCB" w:rsidP="00C50AF2">
      <w:pPr>
        <w:jc w:val="both"/>
      </w:pPr>
    </w:p>
    <w:p w14:paraId="3558F53C" w14:textId="14A7F958" w:rsidR="00C50AF2" w:rsidRPr="003417CF" w:rsidRDefault="00C50AF2" w:rsidP="00C50AF2">
      <w:pPr>
        <w:jc w:val="both"/>
      </w:pPr>
      <w:r w:rsidRPr="00C50AF2">
        <w:drawing>
          <wp:inline distT="0" distB="0" distL="0" distR="0" wp14:anchorId="34A7A3A8" wp14:editId="1E3E2C57">
            <wp:extent cx="5509737" cy="3261643"/>
            <wp:effectExtent l="0" t="0" r="0" b="0"/>
            <wp:docPr id="22" name="Kép 21">
              <a:extLst xmlns:a="http://schemas.openxmlformats.org/drawingml/2006/main">
                <a:ext uri="{FF2B5EF4-FFF2-40B4-BE49-F238E27FC236}">
                  <a16:creationId xmlns:a16="http://schemas.microsoft.com/office/drawing/2014/main" id="{21051FFA-9DD2-4A32-9AA5-D346D9538D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Kép 21">
                      <a:extLst>
                        <a:ext uri="{FF2B5EF4-FFF2-40B4-BE49-F238E27FC236}">
                          <a16:creationId xmlns:a16="http://schemas.microsoft.com/office/drawing/2014/main" id="{21051FFA-9DD2-4A32-9AA5-D346D9538D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737" cy="326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0AF2" w:rsidRPr="003417CF" w:rsidSect="00C50AF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31787"/>
    <w:multiLevelType w:val="hybridMultilevel"/>
    <w:tmpl w:val="74B016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CF"/>
    <w:rsid w:val="003417CF"/>
    <w:rsid w:val="004C5DCB"/>
    <w:rsid w:val="005E778D"/>
    <w:rsid w:val="00604DDA"/>
    <w:rsid w:val="00C50AF2"/>
    <w:rsid w:val="00E8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9C1F"/>
  <w15:chartTrackingRefBased/>
  <w15:docId w15:val="{66CDDBB1-AA01-4FA6-8323-6EE08E2D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1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1</cp:revision>
  <cp:lastPrinted>2022-01-14T21:05:00Z</cp:lastPrinted>
  <dcterms:created xsi:type="dcterms:W3CDTF">2022-01-14T20:43:00Z</dcterms:created>
  <dcterms:modified xsi:type="dcterms:W3CDTF">2022-01-14T21:06:00Z</dcterms:modified>
</cp:coreProperties>
</file>