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A3" w:rsidRDefault="00C16698" w:rsidP="00C16698">
      <w:pPr>
        <w:jc w:val="center"/>
        <w:rPr>
          <w:sz w:val="28"/>
          <w:szCs w:val="28"/>
        </w:rPr>
      </w:pPr>
      <w:r w:rsidRPr="00C16698">
        <w:rPr>
          <w:sz w:val="28"/>
          <w:szCs w:val="28"/>
        </w:rPr>
        <w:t>PSZICHÓZISOK KEZELÉSÉRE SZOLGÁLÓ SZEREK</w:t>
      </w:r>
    </w:p>
    <w:p w:rsidR="00C16698" w:rsidRDefault="00C16698" w:rsidP="00C16698">
      <w:pPr>
        <w:jc w:val="center"/>
        <w:rPr>
          <w:sz w:val="28"/>
          <w:szCs w:val="28"/>
        </w:rPr>
      </w:pPr>
    </w:p>
    <w:p w:rsidR="00C16698" w:rsidRDefault="00C16698" w:rsidP="00C16698">
      <w:pPr>
        <w:spacing w:after="0"/>
      </w:pPr>
      <w:proofErr w:type="spellStart"/>
      <w:r>
        <w:t>Antipszichotikus</w:t>
      </w:r>
      <w:proofErr w:type="spellEnd"/>
      <w:r>
        <w:t xml:space="preserve"> szerek</w:t>
      </w:r>
    </w:p>
    <w:p w:rsidR="00C16698" w:rsidRDefault="00C16698" w:rsidP="00C16698">
      <w:pPr>
        <w:spacing w:after="0"/>
        <w:ind w:left="284"/>
      </w:pPr>
      <w:r>
        <w:t xml:space="preserve">= </w:t>
      </w:r>
      <w:proofErr w:type="spellStart"/>
      <w:r>
        <w:t>neuroleptikus</w:t>
      </w:r>
      <w:proofErr w:type="spellEnd"/>
      <w:r>
        <w:t xml:space="preserve"> szerek: idegsejt működésének csökkenése</w:t>
      </w:r>
    </w:p>
    <w:p w:rsidR="00C16698" w:rsidRDefault="00C16698" w:rsidP="00C16698">
      <w:pPr>
        <w:spacing w:after="0"/>
        <w:ind w:left="284"/>
      </w:pPr>
      <w:r>
        <w:t>=trankvilláns szerek</w:t>
      </w:r>
    </w:p>
    <w:p w:rsidR="00C16698" w:rsidRDefault="00C16698" w:rsidP="00C16698">
      <w:pPr>
        <w:spacing w:after="0"/>
      </w:pPr>
      <w:r>
        <w:t xml:space="preserve">különböző </w:t>
      </w:r>
      <w:proofErr w:type="spellStart"/>
      <w:r>
        <w:t>tünetegyüttesekben</w:t>
      </w:r>
      <w:proofErr w:type="spellEnd"/>
      <w:r>
        <w:t xml:space="preserve"> nyilvánul meg</w:t>
      </w:r>
    </w:p>
    <w:p w:rsidR="00C16698" w:rsidRDefault="00C16698" w:rsidP="00C16698">
      <w:pPr>
        <w:spacing w:after="0"/>
      </w:pPr>
    </w:p>
    <w:p w:rsidR="00C16698" w:rsidRDefault="00C16698" w:rsidP="00C16698">
      <w:pPr>
        <w:spacing w:after="0"/>
      </w:pPr>
      <w:r>
        <w:t>1. Skizofrénia</w:t>
      </w:r>
    </w:p>
    <w:p w:rsidR="00C16698" w:rsidRDefault="00C16698" w:rsidP="00C16698">
      <w:pPr>
        <w:spacing w:after="0"/>
        <w:ind w:left="709"/>
      </w:pPr>
      <w:r>
        <w:t xml:space="preserve">- pozitív tünetek: kóros eszmerendszer, érzéki csalódások, </w:t>
      </w:r>
      <w:proofErr w:type="spellStart"/>
      <w:r>
        <w:t>halucinációk</w:t>
      </w:r>
      <w:proofErr w:type="spellEnd"/>
    </w:p>
    <w:p w:rsidR="00C16698" w:rsidRDefault="00C16698" w:rsidP="00C16698">
      <w:pPr>
        <w:spacing w:after="0"/>
        <w:ind w:left="709"/>
      </w:pPr>
      <w:r>
        <w:t xml:space="preserve">- negatív tünetek: érzelmi élet, társadalmi együttélés </w:t>
      </w:r>
      <w:proofErr w:type="spellStart"/>
      <w:r>
        <w:t>zavarai</w:t>
      </w:r>
      <w:proofErr w:type="spellEnd"/>
    </w:p>
    <w:p w:rsidR="00C16698" w:rsidRDefault="00C16698" w:rsidP="00C16698">
      <w:pPr>
        <w:spacing w:after="0"/>
        <w:ind w:left="284"/>
      </w:pPr>
    </w:p>
    <w:p w:rsidR="00C16698" w:rsidRDefault="00C16698" w:rsidP="00C16698">
      <w:pPr>
        <w:spacing w:after="0"/>
        <w:ind w:left="284"/>
      </w:pPr>
      <w:proofErr w:type="spellStart"/>
      <w:r>
        <w:t>patomechanizmusa</w:t>
      </w:r>
      <w:proofErr w:type="spellEnd"/>
      <w:r>
        <w:t xml:space="preserve"> nem ismert</w:t>
      </w:r>
    </w:p>
    <w:p w:rsidR="00C16698" w:rsidRDefault="00C16698" w:rsidP="00C16698">
      <w:pPr>
        <w:pStyle w:val="Listaszerbekezds"/>
        <w:spacing w:after="0"/>
        <w:ind w:left="567"/>
      </w:pPr>
      <w:r>
        <w:t>dopamin fokozott túlműködése - inkább dopamin egyensúlyzavara</w:t>
      </w:r>
    </w:p>
    <w:p w:rsidR="00C16698" w:rsidRDefault="00C16698" w:rsidP="00C16698">
      <w:pPr>
        <w:pStyle w:val="Listaszerbekezds"/>
        <w:spacing w:after="0"/>
        <w:ind w:left="567"/>
      </w:pPr>
      <w:r>
        <w:t>a szerotonin is szerepet játszik a kialakulásában</w:t>
      </w:r>
    </w:p>
    <w:p w:rsidR="00C16698" w:rsidRDefault="00C16698" w:rsidP="00C16698">
      <w:pPr>
        <w:pStyle w:val="Listaszerbekezds"/>
        <w:spacing w:after="0"/>
        <w:ind w:left="567"/>
      </w:pPr>
    </w:p>
    <w:p w:rsidR="00C16698" w:rsidRDefault="00C16698" w:rsidP="00C16698">
      <w:pPr>
        <w:pStyle w:val="Listaszerbekezds"/>
        <w:spacing w:after="0"/>
        <w:ind w:left="284"/>
      </w:pPr>
      <w:r>
        <w:t xml:space="preserve">gyógyszeres kezelése </w:t>
      </w:r>
    </w:p>
    <w:p w:rsidR="00C16698" w:rsidRDefault="00C16698" w:rsidP="00C16698">
      <w:pPr>
        <w:pStyle w:val="Listaszerbekezds"/>
        <w:numPr>
          <w:ilvl w:val="0"/>
          <w:numId w:val="2"/>
        </w:numPr>
        <w:spacing w:after="0"/>
        <w:ind w:left="851"/>
      </w:pPr>
      <w:r>
        <w:t>típusos szerek</w:t>
      </w:r>
    </w:p>
    <w:p w:rsidR="00C16698" w:rsidRDefault="00C16698" w:rsidP="00C16698">
      <w:pPr>
        <w:pStyle w:val="Listaszerbekezds"/>
        <w:numPr>
          <w:ilvl w:val="1"/>
          <w:numId w:val="2"/>
        </w:numPr>
        <w:spacing w:after="0"/>
        <w:ind w:left="1418"/>
      </w:pPr>
      <w:r>
        <w:t>csak a pozitív tünetekre hatnak</w:t>
      </w:r>
    </w:p>
    <w:p w:rsidR="00C16698" w:rsidRDefault="00C16698" w:rsidP="00C16698">
      <w:pPr>
        <w:pStyle w:val="Listaszerbekezds"/>
        <w:numPr>
          <w:ilvl w:val="1"/>
          <w:numId w:val="2"/>
        </w:numPr>
        <w:spacing w:after="0"/>
        <w:ind w:left="1418"/>
      </w:pPr>
      <w:r>
        <w:t xml:space="preserve">dopamin </w:t>
      </w:r>
      <w:proofErr w:type="spellStart"/>
      <w:r>
        <w:t>antagonista</w:t>
      </w:r>
      <w:proofErr w:type="spellEnd"/>
      <w:r>
        <w:t xml:space="preserve"> tünetekkel</w:t>
      </w:r>
    </w:p>
    <w:p w:rsidR="00C16698" w:rsidRDefault="00C16698" w:rsidP="00C16698">
      <w:pPr>
        <w:pStyle w:val="Listaszerbekezds"/>
        <w:numPr>
          <w:ilvl w:val="1"/>
          <w:numId w:val="2"/>
        </w:numPr>
        <w:spacing w:after="0"/>
        <w:ind w:left="1418"/>
      </w:pPr>
      <w:r>
        <w:t xml:space="preserve">több pályarendszerre hat: mozgás - </w:t>
      </w:r>
      <w:proofErr w:type="spellStart"/>
      <w:r>
        <w:t>extrapyramidalis</w:t>
      </w:r>
      <w:proofErr w:type="spellEnd"/>
      <w:r w:rsidR="00FD1D79">
        <w:t xml:space="preserve">, </w:t>
      </w:r>
      <w:proofErr w:type="spellStart"/>
      <w:r w:rsidR="00FD1D79">
        <w:t>prolactin</w:t>
      </w:r>
      <w:proofErr w:type="spellEnd"/>
      <w:r w:rsidR="00FD1D79">
        <w:t xml:space="preserve"> szintézis gátlása</w:t>
      </w:r>
    </w:p>
    <w:p w:rsidR="00FD1D79" w:rsidRDefault="00FD1D79" w:rsidP="00FD1D79">
      <w:pPr>
        <w:pStyle w:val="Listaszerbekezds"/>
        <w:numPr>
          <w:ilvl w:val="1"/>
          <w:numId w:val="2"/>
        </w:numPr>
        <w:spacing w:after="0"/>
        <w:ind w:left="1418"/>
      </w:pPr>
      <w:r>
        <w:t>dopamin receptor blokkoló hatással rendelkezik</w:t>
      </w:r>
    </w:p>
    <w:p w:rsidR="00FD1D79" w:rsidRDefault="00FD1D79" w:rsidP="00FD1D79">
      <w:pPr>
        <w:pStyle w:val="Listaszerbekezds"/>
        <w:spacing w:after="0"/>
        <w:ind w:left="1418"/>
      </w:pPr>
      <w:r w:rsidRPr="00FD1D79">
        <w:rPr>
          <w:rFonts w:cstheme="minorHAnsi"/>
        </w:rPr>
        <w:t>α</w:t>
      </w:r>
      <w:r>
        <w:t>-1 receptor blokkoló hatás</w:t>
      </w:r>
    </w:p>
    <w:p w:rsidR="00FD1D79" w:rsidRDefault="00FD1D79" w:rsidP="00FD1D79">
      <w:pPr>
        <w:pStyle w:val="Listaszerbekezds"/>
        <w:spacing w:after="0"/>
        <w:ind w:left="1418"/>
      </w:pPr>
      <w:r>
        <w:t>hisztamin-1 receptor blokkoló hatás</w:t>
      </w:r>
    </w:p>
    <w:p w:rsidR="00FD1D79" w:rsidRDefault="00FD1D79" w:rsidP="00FD1D79">
      <w:pPr>
        <w:pStyle w:val="Listaszerbekezds"/>
        <w:spacing w:after="0"/>
        <w:ind w:left="1418"/>
      </w:pPr>
      <w:r>
        <w:t>szerotonin receptor blokkoló hatás</w:t>
      </w:r>
    </w:p>
    <w:p w:rsidR="00FD1D79" w:rsidRDefault="00FD1D79" w:rsidP="00FD1D79">
      <w:pPr>
        <w:pStyle w:val="Listaszerbekezds"/>
        <w:spacing w:after="0"/>
        <w:ind w:left="1418"/>
      </w:pPr>
      <w:proofErr w:type="spellStart"/>
      <w:r>
        <w:t>muszkarin</w:t>
      </w:r>
      <w:proofErr w:type="spellEnd"/>
      <w:r>
        <w:t xml:space="preserve"> receptor blokkoló hatás</w:t>
      </w:r>
    </w:p>
    <w:p w:rsidR="00FD1D79" w:rsidRDefault="00FD1D79" w:rsidP="00FD1D79">
      <w:pPr>
        <w:pStyle w:val="Listaszerbekezds"/>
        <w:numPr>
          <w:ilvl w:val="1"/>
          <w:numId w:val="2"/>
        </w:numPr>
        <w:spacing w:after="0"/>
        <w:ind w:left="1418"/>
      </w:pPr>
      <w:proofErr w:type="spellStart"/>
      <w:r>
        <w:t>potencírozzák</w:t>
      </w:r>
      <w:proofErr w:type="spellEnd"/>
      <w:r>
        <w:t xml:space="preserve"> a sebészi narkotikumok hatását</w:t>
      </w:r>
    </w:p>
    <w:p w:rsidR="00FD1D79" w:rsidRDefault="00FD1D79" w:rsidP="00FD1D79">
      <w:pPr>
        <w:pStyle w:val="Listaszerbekezds"/>
        <w:numPr>
          <w:ilvl w:val="1"/>
          <w:numId w:val="2"/>
        </w:numPr>
        <w:spacing w:after="0"/>
        <w:ind w:left="1418"/>
      </w:pPr>
      <w:r>
        <w:t>nyugtató hatás</w:t>
      </w:r>
    </w:p>
    <w:p w:rsidR="00FD1D79" w:rsidRDefault="00FD1D79" w:rsidP="00FD1D79">
      <w:pPr>
        <w:pStyle w:val="Listaszerbekezds"/>
        <w:numPr>
          <w:ilvl w:val="1"/>
          <w:numId w:val="2"/>
        </w:numPr>
        <w:spacing w:after="0"/>
        <w:ind w:left="1418"/>
      </w:pPr>
      <w:r>
        <w:t>könnyítik az elalvást, de nem altató hatásúak</w:t>
      </w:r>
    </w:p>
    <w:p w:rsidR="00FD1D79" w:rsidRDefault="00FD1D79" w:rsidP="00FD1D79">
      <w:pPr>
        <w:pStyle w:val="Listaszerbekezds"/>
        <w:numPr>
          <w:ilvl w:val="1"/>
          <w:numId w:val="2"/>
        </w:numPr>
        <w:spacing w:after="0"/>
        <w:ind w:left="1418"/>
      </w:pPr>
      <w:r>
        <w:t xml:space="preserve">MH: kp-i idegrendszerben: </w:t>
      </w:r>
      <w:proofErr w:type="spellStart"/>
      <w:r>
        <w:t>pszeudoparkinsonos</w:t>
      </w:r>
      <w:proofErr w:type="spellEnd"/>
      <w:r>
        <w:t xml:space="preserve"> tünetek, fokozott </w:t>
      </w:r>
      <w:proofErr w:type="spellStart"/>
      <w:r>
        <w:t>prolactin</w:t>
      </w:r>
      <w:proofErr w:type="spellEnd"/>
      <w:r>
        <w:t xml:space="preserve"> felszabadulás - nőknél vérzészavar, férfiaknál - </w:t>
      </w:r>
      <w:proofErr w:type="spellStart"/>
      <w:r>
        <w:t>gynecomastia</w:t>
      </w:r>
      <w:proofErr w:type="spellEnd"/>
    </w:p>
    <w:p w:rsidR="00FD1D79" w:rsidRDefault="00FD1D79" w:rsidP="00FD1D79">
      <w:pPr>
        <w:pStyle w:val="Listaszerbekezds"/>
        <w:spacing w:after="0"/>
        <w:ind w:left="1418"/>
      </w:pPr>
      <w:r>
        <w:t>vegetatív idegrendszerben: vérnyomásesés, atropinszerű mellékhatások (látászavar, szájszárazság...), szívritmuszavar</w:t>
      </w:r>
    </w:p>
    <w:p w:rsidR="00FD1D79" w:rsidRDefault="00FD1D79" w:rsidP="00FD1D79">
      <w:pPr>
        <w:pStyle w:val="Listaszerbekezds"/>
        <w:spacing w:after="0"/>
        <w:ind w:left="1418"/>
      </w:pPr>
    </w:p>
    <w:p w:rsidR="00FD1D79" w:rsidRDefault="00FD1D79" w:rsidP="00FD1D79">
      <w:pPr>
        <w:pStyle w:val="Listaszerbekezds"/>
        <w:tabs>
          <w:tab w:val="left" w:pos="2552"/>
        </w:tabs>
        <w:spacing w:after="0"/>
        <w:ind w:left="993"/>
      </w:pPr>
      <w:proofErr w:type="spellStart"/>
      <w:r>
        <w:t>pipotiazin</w:t>
      </w:r>
      <w:proofErr w:type="spellEnd"/>
      <w:r>
        <w:tab/>
        <w:t>PIPATRIL</w:t>
      </w:r>
    </w:p>
    <w:p w:rsidR="00FD1D79" w:rsidRDefault="00FD1D79" w:rsidP="00FD1D79">
      <w:pPr>
        <w:pStyle w:val="Listaszerbekezds"/>
        <w:tabs>
          <w:tab w:val="left" w:pos="2552"/>
        </w:tabs>
        <w:spacing w:after="0"/>
        <w:ind w:left="993"/>
      </w:pPr>
      <w:r>
        <w:tab/>
        <w:t>HALOPERIDOL</w:t>
      </w:r>
    </w:p>
    <w:p w:rsidR="00FD1D79" w:rsidRDefault="00FD1D79" w:rsidP="00FD1D79">
      <w:pPr>
        <w:pStyle w:val="Listaszerbekezds"/>
        <w:tabs>
          <w:tab w:val="left" w:pos="2552"/>
        </w:tabs>
        <w:spacing w:after="0"/>
        <w:ind w:left="993"/>
      </w:pPr>
    </w:p>
    <w:p w:rsidR="00FD1D79" w:rsidRDefault="00FD1D79" w:rsidP="00FD1D79">
      <w:pPr>
        <w:pStyle w:val="Listaszerbekezds"/>
        <w:numPr>
          <w:ilvl w:val="0"/>
          <w:numId w:val="2"/>
        </w:numPr>
        <w:tabs>
          <w:tab w:val="left" w:pos="2552"/>
        </w:tabs>
        <w:spacing w:after="0"/>
        <w:ind w:left="1701"/>
      </w:pPr>
      <w:r>
        <w:t>nyugalom</w:t>
      </w:r>
    </w:p>
    <w:p w:rsidR="00FD1D79" w:rsidRDefault="00FD1D79" w:rsidP="00FD1D79">
      <w:pPr>
        <w:pStyle w:val="Listaszerbekezds"/>
        <w:numPr>
          <w:ilvl w:val="0"/>
          <w:numId w:val="2"/>
        </w:numPr>
        <w:tabs>
          <w:tab w:val="left" w:pos="2552"/>
        </w:tabs>
        <w:spacing w:after="0"/>
        <w:ind w:left="1701"/>
      </w:pPr>
      <w:r>
        <w:t>hozzáférhetővé válik</w:t>
      </w:r>
    </w:p>
    <w:p w:rsidR="001C26F2" w:rsidRDefault="001C26F2" w:rsidP="001C26F2">
      <w:pPr>
        <w:pStyle w:val="Listaszerbekezds"/>
        <w:tabs>
          <w:tab w:val="left" w:pos="2552"/>
        </w:tabs>
        <w:spacing w:after="0"/>
        <w:ind w:left="1701"/>
      </w:pPr>
    </w:p>
    <w:p w:rsidR="001C26F2" w:rsidRDefault="001C26F2" w:rsidP="001C26F2">
      <w:pPr>
        <w:pStyle w:val="Listaszerbekezds"/>
        <w:tabs>
          <w:tab w:val="left" w:pos="2127"/>
          <w:tab w:val="left" w:pos="2552"/>
        </w:tabs>
        <w:spacing w:after="0"/>
        <w:ind w:left="993"/>
      </w:pPr>
      <w:r>
        <w:t>TORECAN</w:t>
      </w:r>
      <w:r>
        <w:tab/>
        <w:t>- csak hányingerre</w:t>
      </w:r>
    </w:p>
    <w:p w:rsidR="001C26F2" w:rsidRDefault="001C26F2" w:rsidP="001C26F2">
      <w:pPr>
        <w:pStyle w:val="Listaszerbekezds"/>
        <w:tabs>
          <w:tab w:val="left" w:pos="2127"/>
          <w:tab w:val="left" w:pos="2552"/>
        </w:tabs>
        <w:spacing w:after="0"/>
        <w:ind w:left="993"/>
      </w:pPr>
      <w:r>
        <w:t>DIPOLPHEN</w:t>
      </w:r>
      <w:r>
        <w:tab/>
        <w:t xml:space="preserve">- erős </w:t>
      </w:r>
      <w:proofErr w:type="spellStart"/>
      <w:r>
        <w:t>antihisztamin</w:t>
      </w:r>
      <w:proofErr w:type="spellEnd"/>
      <w:r>
        <w:t xml:space="preserve"> hatás</w:t>
      </w:r>
    </w:p>
    <w:p w:rsidR="001C26F2" w:rsidRDefault="001C26F2" w:rsidP="001C26F2">
      <w:pPr>
        <w:pStyle w:val="Listaszerbekezds"/>
        <w:tabs>
          <w:tab w:val="left" w:pos="2127"/>
          <w:tab w:val="left" w:pos="2552"/>
        </w:tabs>
        <w:spacing w:after="0"/>
        <w:ind w:left="993"/>
      </w:pPr>
      <w:r>
        <w:tab/>
        <w:t>- műtéti előkészítésnél felhasználható</w:t>
      </w:r>
    </w:p>
    <w:p w:rsidR="001C26F2" w:rsidRDefault="001C26F2" w:rsidP="001C26F2">
      <w:pPr>
        <w:pStyle w:val="Listaszerbekezds"/>
        <w:tabs>
          <w:tab w:val="left" w:pos="2127"/>
          <w:tab w:val="left" w:pos="2552"/>
        </w:tabs>
        <w:spacing w:after="0"/>
        <w:ind w:left="993"/>
      </w:pPr>
    </w:p>
    <w:p w:rsidR="001C26F2" w:rsidRDefault="001C26F2" w:rsidP="001C26F2">
      <w:pPr>
        <w:pStyle w:val="Listaszerbekezds"/>
        <w:numPr>
          <w:ilvl w:val="0"/>
          <w:numId w:val="3"/>
        </w:numPr>
        <w:tabs>
          <w:tab w:val="left" w:pos="2127"/>
          <w:tab w:val="left" w:pos="2552"/>
        </w:tabs>
        <w:spacing w:after="0"/>
        <w:ind w:left="851"/>
      </w:pPr>
      <w:r>
        <w:lastRenderedPageBreak/>
        <w:t>atípusos szerek</w:t>
      </w:r>
    </w:p>
    <w:p w:rsidR="001C26F2" w:rsidRDefault="001C26F2" w:rsidP="001C26F2">
      <w:pPr>
        <w:pStyle w:val="Listaszerbekezds"/>
        <w:tabs>
          <w:tab w:val="left" w:pos="2127"/>
          <w:tab w:val="left" w:pos="2552"/>
        </w:tabs>
        <w:spacing w:after="0"/>
        <w:ind w:left="851"/>
      </w:pPr>
    </w:p>
    <w:p w:rsidR="001C26F2" w:rsidRDefault="001C26F2" w:rsidP="001C26F2">
      <w:pPr>
        <w:pStyle w:val="Listaszerbekezds"/>
        <w:numPr>
          <w:ilvl w:val="1"/>
          <w:numId w:val="3"/>
        </w:numPr>
        <w:tabs>
          <w:tab w:val="left" w:pos="2127"/>
          <w:tab w:val="left" w:pos="2552"/>
        </w:tabs>
        <w:spacing w:after="0"/>
        <w:ind w:left="1134"/>
      </w:pPr>
      <w:r>
        <w:t>mozgászavart már nem okoznak</w:t>
      </w:r>
    </w:p>
    <w:p w:rsidR="001C26F2" w:rsidRDefault="001C26F2" w:rsidP="001C26F2">
      <w:pPr>
        <w:pStyle w:val="Listaszerbekezds"/>
        <w:numPr>
          <w:ilvl w:val="1"/>
          <w:numId w:val="3"/>
        </w:numPr>
        <w:tabs>
          <w:tab w:val="left" w:pos="2127"/>
          <w:tab w:val="left" w:pos="2552"/>
        </w:tabs>
        <w:spacing w:after="0"/>
        <w:ind w:left="1134"/>
      </w:pPr>
      <w:r>
        <w:t>negatív tünetekre is hatnak</w:t>
      </w:r>
    </w:p>
    <w:p w:rsidR="001C26F2" w:rsidRDefault="001C26F2" w:rsidP="001C26F2">
      <w:pPr>
        <w:tabs>
          <w:tab w:val="left" w:pos="2127"/>
          <w:tab w:val="left" w:pos="2552"/>
        </w:tabs>
        <w:spacing w:after="0"/>
      </w:pPr>
    </w:p>
    <w:p w:rsidR="001C26F2" w:rsidRDefault="001C26F2" w:rsidP="001C26F2">
      <w:pPr>
        <w:tabs>
          <w:tab w:val="left" w:pos="2127"/>
          <w:tab w:val="left" w:pos="2552"/>
        </w:tabs>
        <w:spacing w:after="0"/>
        <w:ind w:left="993"/>
      </w:pPr>
      <w:proofErr w:type="spellStart"/>
      <w:r>
        <w:t>clozapin</w:t>
      </w:r>
      <w:proofErr w:type="spellEnd"/>
      <w:r>
        <w:tab/>
      </w:r>
      <w:r>
        <w:tab/>
        <w:t>LEPONEX</w:t>
      </w:r>
    </w:p>
    <w:p w:rsidR="001C26F2" w:rsidRDefault="001C26F2" w:rsidP="001C26F2">
      <w:pPr>
        <w:tabs>
          <w:tab w:val="left" w:pos="2127"/>
          <w:tab w:val="left" w:pos="2552"/>
        </w:tabs>
        <w:spacing w:after="0"/>
        <w:ind w:left="993"/>
      </w:pPr>
    </w:p>
    <w:p w:rsidR="001C26F2" w:rsidRDefault="001C26F2" w:rsidP="001C26F2">
      <w:pPr>
        <w:pStyle w:val="Listaszerbekezds"/>
        <w:numPr>
          <w:ilvl w:val="0"/>
          <w:numId w:val="3"/>
        </w:numPr>
        <w:tabs>
          <w:tab w:val="left" w:pos="2127"/>
          <w:tab w:val="left" w:pos="2552"/>
        </w:tabs>
        <w:spacing w:after="0"/>
      </w:pPr>
      <w:r>
        <w:t>erős atropinszerű hatás</w:t>
      </w:r>
    </w:p>
    <w:p w:rsidR="001C26F2" w:rsidRDefault="001C26F2" w:rsidP="001C26F2">
      <w:pPr>
        <w:pStyle w:val="Listaszerbekezds"/>
        <w:numPr>
          <w:ilvl w:val="0"/>
          <w:numId w:val="3"/>
        </w:numPr>
        <w:tabs>
          <w:tab w:val="left" w:pos="2127"/>
          <w:tab w:val="left" w:pos="2552"/>
        </w:tabs>
        <w:spacing w:after="0"/>
      </w:pPr>
      <w:r>
        <w:t>nyugtató hatás</w:t>
      </w:r>
    </w:p>
    <w:p w:rsidR="001C26F2" w:rsidRDefault="001C26F2" w:rsidP="001C26F2">
      <w:pPr>
        <w:pStyle w:val="Listaszerbekezds"/>
        <w:numPr>
          <w:ilvl w:val="0"/>
          <w:numId w:val="3"/>
        </w:numPr>
        <w:tabs>
          <w:tab w:val="left" w:pos="2127"/>
          <w:tab w:val="left" w:pos="2552"/>
        </w:tabs>
        <w:spacing w:after="0"/>
      </w:pPr>
      <w:proofErr w:type="spellStart"/>
      <w:r>
        <w:t>agranulocitózist</w:t>
      </w:r>
      <w:proofErr w:type="spellEnd"/>
      <w:r>
        <w:t xml:space="preserve"> okozhat</w:t>
      </w:r>
    </w:p>
    <w:p w:rsidR="001C26F2" w:rsidRDefault="001C26F2" w:rsidP="001C26F2">
      <w:pPr>
        <w:pStyle w:val="Listaszerbekezds"/>
        <w:tabs>
          <w:tab w:val="left" w:pos="2127"/>
          <w:tab w:val="left" w:pos="2552"/>
        </w:tabs>
        <w:spacing w:after="0"/>
        <w:ind w:left="1713"/>
      </w:pPr>
    </w:p>
    <w:p w:rsidR="001C26F2" w:rsidRDefault="001C26F2" w:rsidP="001C26F2">
      <w:pPr>
        <w:pStyle w:val="Listaszerbekezds"/>
        <w:tabs>
          <w:tab w:val="left" w:pos="2552"/>
        </w:tabs>
        <w:spacing w:after="0"/>
        <w:ind w:left="993"/>
      </w:pPr>
      <w:proofErr w:type="spellStart"/>
      <w:r>
        <w:t>risperidon</w:t>
      </w:r>
      <w:proofErr w:type="spellEnd"/>
      <w:r>
        <w:tab/>
        <w:t>RISPERDAL</w:t>
      </w:r>
    </w:p>
    <w:p w:rsidR="001C26F2" w:rsidRDefault="001C26F2" w:rsidP="001C26F2">
      <w:pPr>
        <w:pStyle w:val="Listaszerbekezds"/>
        <w:tabs>
          <w:tab w:val="left" w:pos="2552"/>
        </w:tabs>
        <w:spacing w:after="0"/>
        <w:ind w:left="993"/>
      </w:pPr>
      <w:r>
        <w:tab/>
        <w:t>RISPERDAL COUSTA</w:t>
      </w:r>
    </w:p>
    <w:p w:rsidR="001C26F2" w:rsidRDefault="001C26F2" w:rsidP="001C26F2">
      <w:pPr>
        <w:pStyle w:val="Listaszerbekezds"/>
        <w:tabs>
          <w:tab w:val="left" w:pos="2552"/>
        </w:tabs>
        <w:spacing w:after="0"/>
        <w:ind w:left="993"/>
      </w:pPr>
    </w:p>
    <w:p w:rsidR="001C26F2" w:rsidRDefault="001C26F2" w:rsidP="001C26F2">
      <w:pPr>
        <w:pStyle w:val="Listaszerbekezds"/>
        <w:numPr>
          <w:ilvl w:val="0"/>
          <w:numId w:val="4"/>
        </w:numPr>
        <w:tabs>
          <w:tab w:val="left" w:pos="2552"/>
        </w:tabs>
        <w:spacing w:after="0"/>
      </w:pPr>
      <w:r>
        <w:t xml:space="preserve">nem okoznak </w:t>
      </w:r>
      <w:proofErr w:type="spellStart"/>
      <w:r>
        <w:t>agranulocitózist</w:t>
      </w:r>
      <w:proofErr w:type="spellEnd"/>
    </w:p>
    <w:p w:rsidR="001C26F2" w:rsidRDefault="001C26F2" w:rsidP="001C26F2">
      <w:pPr>
        <w:pStyle w:val="Listaszerbekezds"/>
        <w:numPr>
          <w:ilvl w:val="0"/>
          <w:numId w:val="4"/>
        </w:numPr>
        <w:tabs>
          <w:tab w:val="left" w:pos="2552"/>
        </w:tabs>
        <w:spacing w:after="0"/>
      </w:pPr>
      <w:r>
        <w:t xml:space="preserve">tartós hatású (kéthetente 1 </w:t>
      </w:r>
      <w:proofErr w:type="spellStart"/>
      <w:r>
        <w:t>inj</w:t>
      </w:r>
      <w:proofErr w:type="spellEnd"/>
      <w:r>
        <w:t>.)</w:t>
      </w:r>
    </w:p>
    <w:p w:rsidR="001C26F2" w:rsidRDefault="001C26F2" w:rsidP="001C26F2">
      <w:pPr>
        <w:pStyle w:val="Listaszerbekezds"/>
        <w:tabs>
          <w:tab w:val="left" w:pos="2552"/>
        </w:tabs>
        <w:spacing w:after="0"/>
        <w:ind w:left="1713"/>
      </w:pPr>
    </w:p>
    <w:p w:rsidR="001C26F2" w:rsidRDefault="001C26F2" w:rsidP="001C26F2">
      <w:pPr>
        <w:pStyle w:val="Listaszerbekezds"/>
        <w:tabs>
          <w:tab w:val="left" w:pos="2552"/>
        </w:tabs>
        <w:spacing w:after="0"/>
        <w:ind w:left="1713"/>
      </w:pPr>
    </w:p>
    <w:p w:rsidR="001C26F2" w:rsidRPr="00C16698" w:rsidRDefault="001C26F2" w:rsidP="001C26F2">
      <w:pPr>
        <w:pStyle w:val="Listaszerbekezds"/>
        <w:tabs>
          <w:tab w:val="left" w:pos="2552"/>
        </w:tabs>
        <w:spacing w:after="0"/>
        <w:ind w:left="0"/>
      </w:pPr>
      <w:r>
        <w:t>A gyógyszeres kezelés mellett fontos szerepe van a pszichoterápiának is. Folyamatos ellenőrzés és gyógyszeres kezelés szükséges, elmaradása esetén a beteg veszélyeztetheti saját, vagy környezet egészségét.</w:t>
      </w:r>
    </w:p>
    <w:sectPr w:rsidR="001C26F2" w:rsidRPr="00C16698" w:rsidSect="00293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49BD"/>
    <w:multiLevelType w:val="hybridMultilevel"/>
    <w:tmpl w:val="B248F40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115303B"/>
    <w:multiLevelType w:val="hybridMultilevel"/>
    <w:tmpl w:val="E86E6E04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39774C9B"/>
    <w:multiLevelType w:val="hybridMultilevel"/>
    <w:tmpl w:val="D8BC36B2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57B03C4E"/>
    <w:multiLevelType w:val="hybridMultilevel"/>
    <w:tmpl w:val="6B4845F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6698"/>
    <w:rsid w:val="00065D45"/>
    <w:rsid w:val="00082880"/>
    <w:rsid w:val="000B0130"/>
    <w:rsid w:val="000F7FEC"/>
    <w:rsid w:val="001C26F2"/>
    <w:rsid w:val="001D4977"/>
    <w:rsid w:val="00212F17"/>
    <w:rsid w:val="00225DCC"/>
    <w:rsid w:val="002934A3"/>
    <w:rsid w:val="002955C3"/>
    <w:rsid w:val="002C1335"/>
    <w:rsid w:val="002F42C9"/>
    <w:rsid w:val="00313393"/>
    <w:rsid w:val="003501C9"/>
    <w:rsid w:val="0035111C"/>
    <w:rsid w:val="003601EC"/>
    <w:rsid w:val="003D1500"/>
    <w:rsid w:val="004C0D82"/>
    <w:rsid w:val="00507C98"/>
    <w:rsid w:val="00572D2B"/>
    <w:rsid w:val="0060464C"/>
    <w:rsid w:val="0060773D"/>
    <w:rsid w:val="0062712E"/>
    <w:rsid w:val="006A7374"/>
    <w:rsid w:val="006D780E"/>
    <w:rsid w:val="00734C36"/>
    <w:rsid w:val="00891507"/>
    <w:rsid w:val="008B0F80"/>
    <w:rsid w:val="008B670F"/>
    <w:rsid w:val="00913E19"/>
    <w:rsid w:val="009258D2"/>
    <w:rsid w:val="009501A8"/>
    <w:rsid w:val="009C5A3C"/>
    <w:rsid w:val="009E6E6F"/>
    <w:rsid w:val="009F43AE"/>
    <w:rsid w:val="00A03D28"/>
    <w:rsid w:val="00A04620"/>
    <w:rsid w:val="00A10ABB"/>
    <w:rsid w:val="00B10AB7"/>
    <w:rsid w:val="00C16698"/>
    <w:rsid w:val="00CA02C9"/>
    <w:rsid w:val="00CC6FF8"/>
    <w:rsid w:val="00D54815"/>
    <w:rsid w:val="00E6421A"/>
    <w:rsid w:val="00E96457"/>
    <w:rsid w:val="00F07DBA"/>
    <w:rsid w:val="00F4076A"/>
    <w:rsid w:val="00F43DBB"/>
    <w:rsid w:val="00FB41B2"/>
    <w:rsid w:val="00FD1D79"/>
    <w:rsid w:val="00FE1A68"/>
    <w:rsid w:val="00FE2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4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16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dcterms:created xsi:type="dcterms:W3CDTF">2012-03-23T11:41:00Z</dcterms:created>
  <dcterms:modified xsi:type="dcterms:W3CDTF">2012-03-23T12:08:00Z</dcterms:modified>
</cp:coreProperties>
</file>