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38A" w:rsidRDefault="009D438A" w:rsidP="009D438A">
      <w:pPr>
        <w:spacing w:after="0"/>
        <w:jc w:val="center"/>
        <w:rPr>
          <w:b/>
          <w:sz w:val="28"/>
          <w:szCs w:val="28"/>
        </w:rPr>
      </w:pPr>
      <w:r w:rsidRPr="009D438A">
        <w:rPr>
          <w:b/>
          <w:sz w:val="28"/>
          <w:szCs w:val="28"/>
        </w:rPr>
        <w:t>Osteoporosis kezelése</w:t>
      </w:r>
    </w:p>
    <w:p w:rsidR="009D438A" w:rsidRDefault="009D438A" w:rsidP="009D438A">
      <w:pPr>
        <w:spacing w:after="0"/>
        <w:jc w:val="center"/>
        <w:rPr>
          <w:b/>
          <w:sz w:val="28"/>
          <w:szCs w:val="28"/>
        </w:rPr>
      </w:pPr>
    </w:p>
    <w:p w:rsidR="009D438A" w:rsidRDefault="009D438A" w:rsidP="009D438A">
      <w:pPr>
        <w:spacing w:after="0"/>
        <w:rPr>
          <w:sz w:val="24"/>
          <w:szCs w:val="24"/>
        </w:rPr>
      </w:pPr>
      <w:r w:rsidRPr="009D438A">
        <w:rPr>
          <w:b/>
          <w:sz w:val="24"/>
          <w:szCs w:val="24"/>
          <w:u w:val="single"/>
        </w:rPr>
        <w:t>Definíció</w:t>
      </w:r>
      <w:r>
        <w:rPr>
          <w:sz w:val="24"/>
          <w:szCs w:val="24"/>
        </w:rPr>
        <w:t xml:space="preserve">: csont tömege fogy, szerkezete megbomlik, teherviselő, </w:t>
      </w:r>
      <w:proofErr w:type="spellStart"/>
      <w:r>
        <w:rPr>
          <w:sz w:val="24"/>
          <w:szCs w:val="24"/>
        </w:rPr>
        <w:t>ellenállóképessége</w:t>
      </w:r>
      <w:proofErr w:type="spellEnd"/>
      <w:r>
        <w:rPr>
          <w:sz w:val="24"/>
          <w:szCs w:val="24"/>
        </w:rPr>
        <w:t xml:space="preserve"> csökken, töréshajlam növekszik</w:t>
      </w:r>
    </w:p>
    <w:p w:rsidR="009D438A" w:rsidRDefault="009D438A" w:rsidP="009D438A">
      <w:pPr>
        <w:spacing w:after="0"/>
        <w:rPr>
          <w:sz w:val="24"/>
          <w:szCs w:val="24"/>
        </w:rPr>
      </w:pPr>
      <w:r>
        <w:rPr>
          <w:sz w:val="24"/>
          <w:szCs w:val="24"/>
        </w:rPr>
        <w:t>a hajlamnak többféle formája is létezik, ritkán fiatal korban is előfordul</w:t>
      </w:r>
    </w:p>
    <w:p w:rsidR="009D438A" w:rsidRDefault="009D438A" w:rsidP="009D438A">
      <w:pPr>
        <w:spacing w:after="0"/>
        <w:rPr>
          <w:sz w:val="24"/>
          <w:szCs w:val="24"/>
        </w:rPr>
      </w:pPr>
    </w:p>
    <w:p w:rsidR="009D438A" w:rsidRPr="004011D2" w:rsidRDefault="009D438A" w:rsidP="009D438A">
      <w:pPr>
        <w:spacing w:after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 xml:space="preserve">1. Primer </w:t>
      </w:r>
    </w:p>
    <w:p w:rsidR="009D438A" w:rsidRDefault="009D438A" w:rsidP="009D438A">
      <w:pPr>
        <w:pStyle w:val="Listaszerbekezds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involuciós</w:t>
      </w:r>
      <w:proofErr w:type="spellEnd"/>
      <w:r>
        <w:rPr>
          <w:sz w:val="24"/>
          <w:szCs w:val="24"/>
        </w:rPr>
        <w:t xml:space="preserve"> forma: elsősorban időseknél</w:t>
      </w:r>
    </w:p>
    <w:p w:rsidR="009D438A" w:rsidRDefault="009D438A" w:rsidP="009D438A">
      <w:pPr>
        <w:pStyle w:val="Listaszerbekezds"/>
        <w:tabs>
          <w:tab w:val="left" w:pos="241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>endokrin folyamatok visszafejlődnek, vagy leállnak</w:t>
      </w:r>
    </w:p>
    <w:p w:rsidR="009D438A" w:rsidRDefault="009D438A" w:rsidP="009D438A">
      <w:pPr>
        <w:pStyle w:val="Listaszerbekezds"/>
        <w:tabs>
          <w:tab w:val="left" w:pos="241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kialakulásában szerepet játszhat </w:t>
      </w:r>
      <w:proofErr w:type="spellStart"/>
      <w:r>
        <w:rPr>
          <w:sz w:val="24"/>
          <w:szCs w:val="24"/>
        </w:rPr>
        <w:t>malnutritio</w:t>
      </w:r>
      <w:proofErr w:type="spellEnd"/>
      <w:r>
        <w:rPr>
          <w:sz w:val="24"/>
          <w:szCs w:val="24"/>
        </w:rPr>
        <w:t xml:space="preserve"> (fehérje hiánya)</w:t>
      </w:r>
    </w:p>
    <w:p w:rsidR="009D438A" w:rsidRDefault="009D438A" w:rsidP="009D438A">
      <w:pPr>
        <w:pStyle w:val="Listaszerbekezds"/>
        <w:tabs>
          <w:tab w:val="left" w:pos="241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  <w:t>mozgásszegény életforma, dohányzás elősegíti kialakulását</w:t>
      </w:r>
    </w:p>
    <w:p w:rsidR="009D438A" w:rsidRDefault="009D438A" w:rsidP="009D438A">
      <w:pPr>
        <w:pStyle w:val="Listaszerbekezds"/>
        <w:tabs>
          <w:tab w:val="left" w:pos="2410"/>
        </w:tabs>
        <w:spacing w:after="0"/>
        <w:rPr>
          <w:sz w:val="24"/>
          <w:szCs w:val="24"/>
        </w:rPr>
      </w:pPr>
    </w:p>
    <w:p w:rsidR="009D438A" w:rsidRDefault="009D438A" w:rsidP="009D438A">
      <w:pPr>
        <w:pStyle w:val="Listaszerbekezds"/>
        <w:tabs>
          <w:tab w:val="left" w:pos="2410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lényege: </w:t>
      </w:r>
      <w:proofErr w:type="spellStart"/>
      <w:r>
        <w:rPr>
          <w:sz w:val="24"/>
          <w:szCs w:val="24"/>
        </w:rPr>
        <w:t>osteoblastok</w:t>
      </w:r>
      <w:proofErr w:type="spellEnd"/>
      <w:r>
        <w:rPr>
          <w:sz w:val="24"/>
          <w:szCs w:val="24"/>
        </w:rPr>
        <w:t xml:space="preserve"> aktivitása csökken</w:t>
      </w:r>
    </w:p>
    <w:p w:rsidR="009D438A" w:rsidRDefault="009D438A" w:rsidP="009D438A">
      <w:pPr>
        <w:pStyle w:val="Listaszerbekezds"/>
        <w:tabs>
          <w:tab w:val="left" w:pos="127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</w:t>
      </w:r>
      <w:proofErr w:type="spellEnd"/>
      <w:r>
        <w:rPr>
          <w:sz w:val="24"/>
          <w:szCs w:val="24"/>
        </w:rPr>
        <w:t>, P nem épül be a sejtekbe</w:t>
      </w:r>
    </w:p>
    <w:p w:rsidR="009D438A" w:rsidRDefault="009D438A" w:rsidP="009D438A">
      <w:pPr>
        <w:pStyle w:val="Listaszerbekezds"/>
        <w:tabs>
          <w:tab w:val="left" w:pos="1276"/>
        </w:tabs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ab/>
        <w:t>csontmátrix mennyisége csökken</w:t>
      </w:r>
    </w:p>
    <w:p w:rsidR="00680734" w:rsidRDefault="00680734" w:rsidP="009D438A">
      <w:pPr>
        <w:pStyle w:val="Listaszerbekezds"/>
        <w:tabs>
          <w:tab w:val="left" w:pos="1276"/>
        </w:tabs>
        <w:spacing w:after="0"/>
        <w:ind w:left="426"/>
        <w:rPr>
          <w:sz w:val="24"/>
          <w:szCs w:val="24"/>
        </w:rPr>
      </w:pPr>
    </w:p>
    <w:p w:rsidR="00680734" w:rsidRDefault="00680734" w:rsidP="00680734">
      <w:pPr>
        <w:pStyle w:val="Listaszerbekezds"/>
        <w:tabs>
          <w:tab w:val="left" w:pos="1276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spellStart"/>
      <w:r>
        <w:rPr>
          <w:sz w:val="24"/>
          <w:szCs w:val="24"/>
        </w:rPr>
        <w:t>postmenopauzális</w:t>
      </w:r>
      <w:proofErr w:type="spellEnd"/>
      <w:r>
        <w:rPr>
          <w:sz w:val="24"/>
          <w:szCs w:val="24"/>
        </w:rPr>
        <w:t xml:space="preserve">: </w:t>
      </w:r>
    </w:p>
    <w:p w:rsidR="00680734" w:rsidRDefault="00680734" w:rsidP="00680734">
      <w:pPr>
        <w:pStyle w:val="Listaszerbekezds"/>
        <w:tabs>
          <w:tab w:val="left" w:pos="1560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  <w:t xml:space="preserve">a csigolya </w:t>
      </w:r>
      <w:proofErr w:type="spellStart"/>
      <w:r>
        <w:rPr>
          <w:sz w:val="24"/>
          <w:szCs w:val="24"/>
        </w:rPr>
        <w:t>trabekuláris</w:t>
      </w:r>
      <w:proofErr w:type="spellEnd"/>
      <w:r>
        <w:rPr>
          <w:sz w:val="24"/>
          <w:szCs w:val="24"/>
        </w:rPr>
        <w:t xml:space="preserve"> állománya csökken</w:t>
      </w:r>
    </w:p>
    <w:p w:rsidR="00680734" w:rsidRDefault="00680734" w:rsidP="00680734">
      <w:pPr>
        <w:pStyle w:val="Listaszerbekezds"/>
        <w:tabs>
          <w:tab w:val="left" w:pos="1560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  <w:t xml:space="preserve">a </w:t>
      </w:r>
      <w:proofErr w:type="spellStart"/>
      <w:r>
        <w:rPr>
          <w:sz w:val="24"/>
          <w:szCs w:val="24"/>
        </w:rPr>
        <w:t>lemezkék</w:t>
      </w:r>
      <w:proofErr w:type="spellEnd"/>
      <w:r>
        <w:rPr>
          <w:sz w:val="24"/>
          <w:szCs w:val="24"/>
        </w:rPr>
        <w:t xml:space="preserve"> elvékonyodnak, lyukacsossá válhat, felszívódhat</w:t>
      </w:r>
    </w:p>
    <w:p w:rsidR="00680734" w:rsidRDefault="00680734" w:rsidP="00680734">
      <w:pPr>
        <w:pStyle w:val="Listaszerbekezds"/>
        <w:tabs>
          <w:tab w:val="left" w:pos="1560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  <w:t>csukló és csigolyatörések gyakoriak</w:t>
      </w:r>
    </w:p>
    <w:p w:rsidR="00680734" w:rsidRDefault="00680734" w:rsidP="00680734">
      <w:pPr>
        <w:pStyle w:val="Listaszerbekezds"/>
        <w:tabs>
          <w:tab w:val="left" w:pos="1276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sym w:font="Symbol" w:char="F0AE"/>
      </w:r>
      <w:r>
        <w:rPr>
          <w:sz w:val="24"/>
          <w:szCs w:val="24"/>
        </w:rPr>
        <w:t xml:space="preserve"> a csökkent ösztrogén termelés áll a hátterében</w:t>
      </w:r>
    </w:p>
    <w:p w:rsidR="00680734" w:rsidRDefault="00680734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</w:p>
    <w:p w:rsidR="00680734" w:rsidRDefault="00680734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proofErr w:type="spellStart"/>
      <w:r>
        <w:rPr>
          <w:sz w:val="24"/>
          <w:szCs w:val="24"/>
        </w:rPr>
        <w:t>senilis</w:t>
      </w:r>
      <w:proofErr w:type="spellEnd"/>
      <w:r>
        <w:rPr>
          <w:sz w:val="24"/>
          <w:szCs w:val="24"/>
        </w:rPr>
        <w:t xml:space="preserve">: </w:t>
      </w:r>
    </w:p>
    <w:p w:rsidR="00680734" w:rsidRDefault="00680734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trabekulák</w:t>
      </w:r>
      <w:proofErr w:type="spellEnd"/>
      <w:r>
        <w:rPr>
          <w:sz w:val="24"/>
          <w:szCs w:val="24"/>
        </w:rPr>
        <w:t xml:space="preserve"> elvékonyodnak, de nem szívódnak fel</w:t>
      </w:r>
    </w:p>
    <w:p w:rsidR="00680734" w:rsidRDefault="00680734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673012">
        <w:rPr>
          <w:sz w:val="24"/>
          <w:szCs w:val="24"/>
        </w:rPr>
        <w:t>corticalis</w:t>
      </w:r>
      <w:proofErr w:type="spellEnd"/>
      <w:r w:rsidR="00673012">
        <w:rPr>
          <w:sz w:val="24"/>
          <w:szCs w:val="24"/>
        </w:rPr>
        <w:t xml:space="preserve"> állomány vékonyodik el</w:t>
      </w:r>
    </w:p>
    <w:p w:rsidR="00673012" w:rsidRDefault="00673012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  <w:t>a csigolyák mellett a hosszú csöves csontokat is érinti</w:t>
      </w:r>
    </w:p>
    <w:p w:rsidR="0018571A" w:rsidRDefault="0018571A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ab/>
        <w:t>csípőtájéki, combnyaktörések gyakoriak</w:t>
      </w:r>
    </w:p>
    <w:p w:rsidR="00A20CC2" w:rsidRDefault="00A20CC2" w:rsidP="00680734">
      <w:pPr>
        <w:pStyle w:val="Listaszerbekezds"/>
        <w:tabs>
          <w:tab w:val="left" w:pos="1560"/>
          <w:tab w:val="left" w:pos="2835"/>
        </w:tabs>
        <w:spacing w:after="0"/>
        <w:ind w:left="709"/>
        <w:rPr>
          <w:sz w:val="24"/>
          <w:szCs w:val="24"/>
        </w:rPr>
      </w:pPr>
    </w:p>
    <w:p w:rsidR="00A20CC2" w:rsidRPr="004011D2" w:rsidRDefault="00A20CC2" w:rsidP="00A20CC2">
      <w:pPr>
        <w:pStyle w:val="Listaszerbekezds"/>
        <w:tabs>
          <w:tab w:val="left" w:pos="1560"/>
          <w:tab w:val="left" w:pos="2835"/>
        </w:tabs>
        <w:spacing w:after="0"/>
        <w:ind w:left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>2. Szekunder</w:t>
      </w:r>
    </w:p>
    <w:p w:rsidR="00A20CC2" w:rsidRDefault="00A20CC2" w:rsidP="00A20CC2">
      <w:pPr>
        <w:pStyle w:val="Listaszerbekezds"/>
        <w:numPr>
          <w:ilvl w:val="0"/>
          <w:numId w:val="1"/>
        </w:numPr>
        <w:tabs>
          <w:tab w:val="left" w:pos="1560"/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más betegségek talaján: diabetes, vese vagy májbetegségek következtében, bizonyos gyógyszerek mellékhatásaként</w:t>
      </w:r>
    </w:p>
    <w:p w:rsidR="00344732" w:rsidRDefault="00344732" w:rsidP="00344732">
      <w:pPr>
        <w:pStyle w:val="Listaszerbekezds"/>
        <w:tabs>
          <w:tab w:val="left" w:pos="1560"/>
          <w:tab w:val="left" w:pos="2835"/>
        </w:tabs>
        <w:spacing w:after="0"/>
        <w:ind w:left="0"/>
        <w:rPr>
          <w:sz w:val="24"/>
          <w:szCs w:val="24"/>
        </w:rPr>
      </w:pPr>
    </w:p>
    <w:p w:rsidR="00344732" w:rsidRPr="004011D2" w:rsidRDefault="00344732" w:rsidP="00344732">
      <w:pPr>
        <w:pStyle w:val="Listaszerbekezds"/>
        <w:tabs>
          <w:tab w:val="left" w:pos="1560"/>
          <w:tab w:val="left" w:pos="2835"/>
        </w:tabs>
        <w:spacing w:after="0"/>
        <w:ind w:left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>Nagy szerepe a megelőzésnek van</w:t>
      </w:r>
    </w:p>
    <w:p w:rsidR="00344732" w:rsidRDefault="00344732" w:rsidP="00344732">
      <w:pPr>
        <w:pStyle w:val="Listaszerbekezds"/>
        <w:numPr>
          <w:ilvl w:val="0"/>
          <w:numId w:val="1"/>
        </w:numPr>
        <w:tabs>
          <w:tab w:val="left" w:pos="1560"/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törések kialakulásának megelőzése (szekunder)</w:t>
      </w:r>
    </w:p>
    <w:p w:rsidR="00344732" w:rsidRDefault="00344732" w:rsidP="00344732">
      <w:pPr>
        <w:pStyle w:val="Listaszerbekezds"/>
        <w:numPr>
          <w:ilvl w:val="0"/>
          <w:numId w:val="1"/>
        </w:numPr>
        <w:tabs>
          <w:tab w:val="left" w:pos="1560"/>
          <w:tab w:val="left" w:pos="2835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Ca</w:t>
      </w:r>
      <w:proofErr w:type="spellEnd"/>
      <w:r>
        <w:rPr>
          <w:sz w:val="24"/>
          <w:szCs w:val="24"/>
        </w:rPr>
        <w:t xml:space="preserve"> megfelelő adagolása, rendszeres testmozgás (primer)</w:t>
      </w:r>
    </w:p>
    <w:p w:rsidR="00344732" w:rsidRDefault="00344732" w:rsidP="00344732">
      <w:pPr>
        <w:pStyle w:val="Listaszerbekezds"/>
        <w:tabs>
          <w:tab w:val="left" w:pos="1560"/>
          <w:tab w:val="left" w:pos="2835"/>
        </w:tabs>
        <w:spacing w:after="0"/>
        <w:rPr>
          <w:sz w:val="24"/>
          <w:szCs w:val="24"/>
        </w:rPr>
      </w:pPr>
    </w:p>
    <w:p w:rsidR="00344732" w:rsidRPr="004011D2" w:rsidRDefault="00344732" w:rsidP="00344732">
      <w:pPr>
        <w:pStyle w:val="Listaszerbekezds"/>
        <w:tabs>
          <w:tab w:val="left" w:pos="1560"/>
          <w:tab w:val="left" w:pos="2835"/>
        </w:tabs>
        <w:spacing w:after="0"/>
        <w:ind w:left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>Felszívódása legjobban:</w:t>
      </w:r>
    </w:p>
    <w:p w:rsidR="00344732" w:rsidRDefault="00344732" w:rsidP="00344732">
      <w:pPr>
        <w:pStyle w:val="Listaszerbekezds"/>
        <w:tabs>
          <w:tab w:val="left" w:pos="709"/>
          <w:tab w:val="left" w:pos="283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ab/>
        <w:t>CITROCALCIN</w:t>
      </w:r>
    </w:p>
    <w:p w:rsidR="00344732" w:rsidRDefault="00344732" w:rsidP="00344732">
      <w:pPr>
        <w:pStyle w:val="Listaszerbekezds"/>
        <w:tabs>
          <w:tab w:val="left" w:pos="709"/>
          <w:tab w:val="left" w:pos="283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Ca-</w:t>
      </w:r>
      <w:proofErr w:type="spellEnd"/>
      <w:r>
        <w:rPr>
          <w:sz w:val="24"/>
          <w:szCs w:val="24"/>
        </w:rPr>
        <w:t xml:space="preserve"> SANDOZ</w:t>
      </w:r>
    </w:p>
    <w:p w:rsidR="0034473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ab/>
        <w:t>naponta 500-1000 mg ajánlott</w:t>
      </w:r>
    </w:p>
    <w:p w:rsidR="0034473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sz w:val="24"/>
          <w:szCs w:val="24"/>
        </w:rPr>
      </w:pPr>
    </w:p>
    <w:p w:rsidR="00344732" w:rsidRPr="004011D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b/>
          <w:sz w:val="24"/>
          <w:szCs w:val="24"/>
          <w:u w:val="single"/>
        </w:rPr>
      </w:pPr>
      <w:r w:rsidRPr="004011D2">
        <w:rPr>
          <w:b/>
          <w:sz w:val="24"/>
          <w:szCs w:val="24"/>
          <w:u w:val="single"/>
        </w:rPr>
        <w:lastRenderedPageBreak/>
        <w:t>Gyógyszeres kezelés:</w:t>
      </w:r>
    </w:p>
    <w:p w:rsidR="0034473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sz w:val="24"/>
          <w:szCs w:val="24"/>
        </w:rPr>
      </w:pPr>
    </w:p>
    <w:p w:rsidR="00344732" w:rsidRPr="004011D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 xml:space="preserve">I. </w:t>
      </w:r>
      <w:proofErr w:type="spellStart"/>
      <w:r w:rsidRPr="004011D2">
        <w:rPr>
          <w:b/>
          <w:sz w:val="24"/>
          <w:szCs w:val="24"/>
        </w:rPr>
        <w:t>osteoclastok</w:t>
      </w:r>
      <w:proofErr w:type="spellEnd"/>
      <w:r w:rsidRPr="004011D2">
        <w:rPr>
          <w:b/>
          <w:sz w:val="24"/>
          <w:szCs w:val="24"/>
        </w:rPr>
        <w:t xml:space="preserve"> gátlása</w:t>
      </w:r>
    </w:p>
    <w:p w:rsidR="00344732" w:rsidRDefault="00344732" w:rsidP="00344732">
      <w:pPr>
        <w:pStyle w:val="Listaszerbekezds"/>
        <w:tabs>
          <w:tab w:val="left" w:pos="426"/>
          <w:tab w:val="left" w:pos="2835"/>
        </w:tabs>
        <w:spacing w:after="0"/>
        <w:ind w:left="0"/>
        <w:rPr>
          <w:sz w:val="24"/>
          <w:szCs w:val="24"/>
        </w:rPr>
      </w:pPr>
    </w:p>
    <w:p w:rsidR="00344732" w:rsidRDefault="00344732" w:rsidP="00344732">
      <w:pPr>
        <w:pStyle w:val="Listaszerbekezds"/>
        <w:tabs>
          <w:tab w:val="left" w:pos="426"/>
          <w:tab w:val="left" w:pos="2127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tibolol</w:t>
      </w:r>
      <w:proofErr w:type="spellEnd"/>
      <w:r>
        <w:rPr>
          <w:sz w:val="24"/>
          <w:szCs w:val="24"/>
        </w:rPr>
        <w:tab/>
        <w:t>LIVIAL</w:t>
      </w:r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>szintetikus hormon származék</w:t>
      </w:r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proofErr w:type="spellStart"/>
      <w:r>
        <w:rPr>
          <w:sz w:val="24"/>
          <w:szCs w:val="24"/>
        </w:rPr>
        <w:t>metabolitjai</w:t>
      </w:r>
      <w:proofErr w:type="spellEnd"/>
      <w:r>
        <w:rPr>
          <w:sz w:val="24"/>
          <w:szCs w:val="24"/>
        </w:rPr>
        <w:t xml:space="preserve"> ösztrogén, gyenge </w:t>
      </w:r>
      <w:proofErr w:type="spellStart"/>
      <w:r>
        <w:rPr>
          <w:sz w:val="24"/>
          <w:szCs w:val="24"/>
        </w:rPr>
        <w:t>gesztagén</w:t>
      </w:r>
      <w:proofErr w:type="spellEnd"/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ösztrogén hatása </w:t>
      </w:r>
      <w:proofErr w:type="spellStart"/>
      <w:r>
        <w:rPr>
          <w:sz w:val="24"/>
          <w:szCs w:val="24"/>
        </w:rPr>
        <w:t>szövetspecifikus</w:t>
      </w:r>
      <w:proofErr w:type="spellEnd"/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gátolja a csontbontást </w:t>
      </w:r>
      <w:r>
        <w:rPr>
          <w:sz w:val="24"/>
          <w:szCs w:val="24"/>
        </w:rPr>
        <w:sym w:font="Symbol" w:char="F0AE"/>
      </w:r>
      <w:r>
        <w:rPr>
          <w:sz w:val="24"/>
          <w:szCs w:val="24"/>
        </w:rPr>
        <w:t xml:space="preserve"> csigolyatörések számát csökkenti</w:t>
      </w:r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proofErr w:type="spellStart"/>
      <w:r>
        <w:rPr>
          <w:sz w:val="24"/>
          <w:szCs w:val="24"/>
        </w:rPr>
        <w:t>endometriumra</w:t>
      </w:r>
      <w:proofErr w:type="spellEnd"/>
      <w:r>
        <w:rPr>
          <w:sz w:val="24"/>
          <w:szCs w:val="24"/>
        </w:rPr>
        <w:t xml:space="preserve"> és az emlőre kevésbé fejti ki hatását</w:t>
      </w:r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proofErr w:type="spellStart"/>
      <w:r>
        <w:rPr>
          <w:sz w:val="24"/>
          <w:szCs w:val="24"/>
        </w:rPr>
        <w:t>menopausa</w:t>
      </w:r>
      <w:proofErr w:type="spellEnd"/>
      <w:r>
        <w:rPr>
          <w:sz w:val="24"/>
          <w:szCs w:val="24"/>
        </w:rPr>
        <w:t xml:space="preserve"> tünetek csökkentése</w:t>
      </w:r>
    </w:p>
    <w:p w:rsidR="00344732" w:rsidRDefault="00344732" w:rsidP="00344732">
      <w:pPr>
        <w:pStyle w:val="Listaszerbekezds"/>
        <w:numPr>
          <w:ilvl w:val="0"/>
          <w:numId w:val="2"/>
        </w:numPr>
        <w:tabs>
          <w:tab w:val="left" w:pos="709"/>
          <w:tab w:val="left" w:pos="2127"/>
        </w:tabs>
        <w:spacing w:after="0"/>
        <w:ind w:left="1134"/>
        <w:rPr>
          <w:sz w:val="24"/>
          <w:szCs w:val="24"/>
        </w:rPr>
      </w:pPr>
      <w:proofErr w:type="spellStart"/>
      <w:r>
        <w:rPr>
          <w:sz w:val="24"/>
          <w:szCs w:val="24"/>
        </w:rPr>
        <w:t>lipidó</w:t>
      </w:r>
      <w:proofErr w:type="spellEnd"/>
      <w:r>
        <w:rPr>
          <w:sz w:val="24"/>
          <w:szCs w:val="24"/>
        </w:rPr>
        <w:t xml:space="preserve"> fokozása</w:t>
      </w:r>
    </w:p>
    <w:p w:rsidR="00BE732C" w:rsidRDefault="00BE732C" w:rsidP="00BE732C">
      <w:pPr>
        <w:tabs>
          <w:tab w:val="left" w:pos="709"/>
          <w:tab w:val="left" w:pos="2127"/>
        </w:tabs>
        <w:spacing w:after="0"/>
        <w:ind w:left="414"/>
        <w:rPr>
          <w:sz w:val="24"/>
          <w:szCs w:val="24"/>
        </w:rPr>
      </w:pPr>
    </w:p>
    <w:p w:rsidR="00BE732C" w:rsidRPr="004011D2" w:rsidRDefault="00BE732C" w:rsidP="00BE732C">
      <w:pPr>
        <w:tabs>
          <w:tab w:val="left" w:pos="709"/>
          <w:tab w:val="left" w:pos="2127"/>
        </w:tabs>
        <w:spacing w:after="0"/>
        <w:rPr>
          <w:b/>
          <w:sz w:val="24"/>
          <w:szCs w:val="24"/>
        </w:rPr>
      </w:pPr>
      <w:r w:rsidRPr="004011D2">
        <w:rPr>
          <w:b/>
          <w:sz w:val="24"/>
          <w:szCs w:val="24"/>
        </w:rPr>
        <w:t>II. szelektív ösztrogén receptor modulátor</w:t>
      </w:r>
    </w:p>
    <w:p w:rsidR="00BE732C" w:rsidRDefault="00BE732C" w:rsidP="00BE732C">
      <w:pPr>
        <w:tabs>
          <w:tab w:val="left" w:pos="709"/>
          <w:tab w:val="left" w:pos="2127"/>
        </w:tabs>
        <w:spacing w:after="0"/>
        <w:rPr>
          <w:sz w:val="24"/>
          <w:szCs w:val="24"/>
        </w:rPr>
      </w:pPr>
    </w:p>
    <w:p w:rsidR="00BE732C" w:rsidRDefault="00BE732C" w:rsidP="00BE732C">
      <w:pPr>
        <w:tabs>
          <w:tab w:val="left" w:pos="426"/>
          <w:tab w:val="left" w:pos="212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raloxifen</w:t>
      </w:r>
      <w:proofErr w:type="spellEnd"/>
      <w:r>
        <w:rPr>
          <w:sz w:val="24"/>
          <w:szCs w:val="24"/>
        </w:rPr>
        <w:tab/>
        <w:t>EVISTA</w:t>
      </w:r>
    </w:p>
    <w:p w:rsidR="00BE732C" w:rsidRDefault="004E0CB8" w:rsidP="00BE732C">
      <w:pPr>
        <w:pStyle w:val="Listaszerbekezds"/>
        <w:numPr>
          <w:ilvl w:val="0"/>
          <w:numId w:val="3"/>
        </w:numPr>
        <w:tabs>
          <w:tab w:val="left" w:pos="426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a csontszövetben </w:t>
      </w:r>
      <w:proofErr w:type="spellStart"/>
      <w:r>
        <w:rPr>
          <w:sz w:val="24"/>
          <w:szCs w:val="24"/>
        </w:rPr>
        <w:t>agonista</w:t>
      </w:r>
      <w:proofErr w:type="spellEnd"/>
    </w:p>
    <w:p w:rsidR="004E0CB8" w:rsidRDefault="004E0CB8" w:rsidP="00BE732C">
      <w:pPr>
        <w:pStyle w:val="Listaszerbekezds"/>
        <w:numPr>
          <w:ilvl w:val="0"/>
          <w:numId w:val="3"/>
        </w:numPr>
        <w:tabs>
          <w:tab w:val="left" w:pos="426"/>
          <w:tab w:val="left" w:pos="2127"/>
        </w:tabs>
        <w:spacing w:after="0"/>
        <w:ind w:left="1134"/>
        <w:rPr>
          <w:sz w:val="24"/>
          <w:szCs w:val="24"/>
        </w:rPr>
      </w:pPr>
      <w:proofErr w:type="spellStart"/>
      <w:r>
        <w:rPr>
          <w:sz w:val="24"/>
          <w:szCs w:val="24"/>
        </w:rPr>
        <w:t>uterusban</w:t>
      </w:r>
      <w:proofErr w:type="spellEnd"/>
      <w:r>
        <w:rPr>
          <w:sz w:val="24"/>
          <w:szCs w:val="24"/>
        </w:rPr>
        <w:t xml:space="preserve">, emlőben </w:t>
      </w:r>
      <w:proofErr w:type="spellStart"/>
      <w:r>
        <w:rPr>
          <w:sz w:val="24"/>
          <w:szCs w:val="24"/>
        </w:rPr>
        <w:t>antagonista</w:t>
      </w:r>
      <w:proofErr w:type="spellEnd"/>
    </w:p>
    <w:p w:rsidR="004E0CB8" w:rsidRDefault="004E0CB8" w:rsidP="00BE732C">
      <w:pPr>
        <w:pStyle w:val="Listaszerbekezds"/>
        <w:numPr>
          <w:ilvl w:val="0"/>
          <w:numId w:val="3"/>
        </w:numPr>
        <w:tabs>
          <w:tab w:val="left" w:pos="426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nem hat a </w:t>
      </w:r>
      <w:proofErr w:type="spellStart"/>
      <w:r>
        <w:rPr>
          <w:sz w:val="24"/>
          <w:szCs w:val="24"/>
        </w:rPr>
        <w:t>menopausális</w:t>
      </w:r>
      <w:proofErr w:type="spellEnd"/>
      <w:r>
        <w:rPr>
          <w:sz w:val="24"/>
          <w:szCs w:val="24"/>
        </w:rPr>
        <w:t xml:space="preserve"> tünetekre</w:t>
      </w:r>
    </w:p>
    <w:p w:rsidR="004E0CB8" w:rsidRDefault="004E0CB8" w:rsidP="00BE732C">
      <w:pPr>
        <w:pStyle w:val="Listaszerbekezds"/>
        <w:numPr>
          <w:ilvl w:val="0"/>
          <w:numId w:val="3"/>
        </w:numPr>
        <w:tabs>
          <w:tab w:val="left" w:pos="426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>csökkenti az LDL koncentrációt</w:t>
      </w:r>
    </w:p>
    <w:p w:rsidR="004E0CB8" w:rsidRDefault="004E0CB8" w:rsidP="00BE732C">
      <w:pPr>
        <w:pStyle w:val="Listaszerbekezds"/>
        <w:numPr>
          <w:ilvl w:val="0"/>
          <w:numId w:val="3"/>
        </w:numPr>
        <w:tabs>
          <w:tab w:val="left" w:pos="426"/>
          <w:tab w:val="left" w:pos="2127"/>
        </w:tabs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>hormonpótlás helyett ezt használják</w:t>
      </w:r>
    </w:p>
    <w:p w:rsidR="001632EB" w:rsidRDefault="001632EB" w:rsidP="001632EB">
      <w:pPr>
        <w:tabs>
          <w:tab w:val="left" w:pos="426"/>
          <w:tab w:val="left" w:pos="2127"/>
        </w:tabs>
        <w:spacing w:after="0"/>
        <w:rPr>
          <w:sz w:val="24"/>
          <w:szCs w:val="24"/>
        </w:rPr>
      </w:pPr>
    </w:p>
    <w:p w:rsidR="001632EB" w:rsidRDefault="001632EB" w:rsidP="001632EB">
      <w:pPr>
        <w:spacing w:line="360" w:lineRule="auto"/>
      </w:pPr>
      <w:proofErr w:type="spellStart"/>
      <w:r>
        <w:rPr>
          <w:b/>
        </w:rPr>
        <w:t>B</w:t>
      </w:r>
      <w:r w:rsidRPr="00FA07E6">
        <w:rPr>
          <w:b/>
        </w:rPr>
        <w:t>ifoszfonátok</w:t>
      </w:r>
      <w:proofErr w:type="spellEnd"/>
      <w:r>
        <w:rPr>
          <w:b/>
        </w:rPr>
        <w:t>:</w:t>
      </w:r>
      <w:r>
        <w:t xml:space="preserve"> </w:t>
      </w:r>
    </w:p>
    <w:p w:rsidR="001632EB" w:rsidRDefault="001632EB" w:rsidP="001632EB">
      <w:pPr>
        <w:numPr>
          <w:ilvl w:val="0"/>
          <w:numId w:val="4"/>
        </w:numPr>
        <w:spacing w:after="0" w:line="360" w:lineRule="auto"/>
      </w:pPr>
      <w:r>
        <w:t xml:space="preserve">az </w:t>
      </w:r>
      <w:proofErr w:type="spellStart"/>
      <w:r>
        <w:t>osteoclastok</w:t>
      </w:r>
      <w:proofErr w:type="spellEnd"/>
      <w:r>
        <w:t xml:space="preserve"> számát és aktivitását is csökkentik</w:t>
      </w:r>
    </w:p>
    <w:p w:rsidR="001632EB" w:rsidRDefault="001632EB" w:rsidP="001632EB">
      <w:pPr>
        <w:numPr>
          <w:ilvl w:val="0"/>
          <w:numId w:val="4"/>
        </w:numPr>
        <w:spacing w:after="0" w:line="360" w:lineRule="auto"/>
      </w:pPr>
      <w:r>
        <w:t>fontos:</w:t>
      </w:r>
      <w:r>
        <w:tab/>
        <w:t xml:space="preserve"> képes a gyógyszer garat és nyelőcsőfekélyt kiváltani </w:t>
      </w:r>
      <w:r>
        <w:sym w:font="Symbol" w:char="F0AE"/>
      </w:r>
      <w:r>
        <w:t xml:space="preserve"> éhgyomorra reggel csapvízzel kell bevenni, 1 órán át ne feküdjünk, ne igyunk, ne együnk, sem más gyógyszert ne vegyünk be.</w:t>
      </w:r>
    </w:p>
    <w:p w:rsidR="001632EB" w:rsidRDefault="001632EB" w:rsidP="001632EB">
      <w:pPr>
        <w:numPr>
          <w:ilvl w:val="0"/>
          <w:numId w:val="4"/>
        </w:numPr>
        <w:spacing w:after="0" w:line="360" w:lineRule="auto"/>
      </w:pPr>
      <w:r>
        <w:t xml:space="preserve">a gyógyszer nem </w:t>
      </w:r>
      <w:proofErr w:type="spellStart"/>
      <w:r>
        <w:t>metabolizálódik</w:t>
      </w:r>
      <w:proofErr w:type="spellEnd"/>
      <w:r>
        <w:t>, 60 %-a a csontszövethez kötődik, a többi a vesén át ürül</w:t>
      </w:r>
    </w:p>
    <w:p w:rsidR="001632EB" w:rsidRDefault="001632EB" w:rsidP="001632EB">
      <w:pPr>
        <w:spacing w:line="360" w:lineRule="auto"/>
      </w:pPr>
    </w:p>
    <w:p w:rsidR="001632EB" w:rsidRPr="00CA6459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alendronat</w:t>
      </w:r>
      <w:proofErr w:type="spellEnd"/>
      <w:r w:rsidRPr="00CA6459">
        <w:t xml:space="preserve"> </w:t>
      </w:r>
      <w:r>
        <w:tab/>
      </w:r>
      <w:r w:rsidRPr="00CA6459">
        <w:t>FOSAMAX</w:t>
      </w:r>
    </w:p>
    <w:p w:rsidR="001632EB" w:rsidRPr="00CA6459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risedronat</w:t>
      </w:r>
      <w:proofErr w:type="spellEnd"/>
      <w:r w:rsidRPr="00CA6459">
        <w:t xml:space="preserve"> </w:t>
      </w:r>
      <w:r>
        <w:tab/>
      </w:r>
      <w:r w:rsidRPr="00CA6459">
        <w:t>ACTONIC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5"/>
        </w:numPr>
        <w:spacing w:after="0" w:line="360" w:lineRule="auto"/>
      </w:pPr>
      <w:r>
        <w:t>1/Hét.</w:t>
      </w:r>
      <w:r>
        <w:tab/>
        <w:t>Mellékhatás:</w:t>
      </w:r>
      <w:r>
        <w:tab/>
        <w:t>fejfájás, hasmenés, szédülés</w:t>
      </w:r>
    </w:p>
    <w:p w:rsidR="001632EB" w:rsidRDefault="001632EB" w:rsidP="001632EB">
      <w:pPr>
        <w:numPr>
          <w:ilvl w:val="0"/>
          <w:numId w:val="5"/>
        </w:numPr>
        <w:spacing w:after="0" w:line="360" w:lineRule="auto"/>
      </w:pPr>
      <w:r>
        <w:t xml:space="preserve">a szérum </w:t>
      </w:r>
      <w:proofErr w:type="spellStart"/>
      <w:r>
        <w:t>Ca</w:t>
      </w:r>
      <w:proofErr w:type="spellEnd"/>
      <w:r>
        <w:t xml:space="preserve"> szintjét csökkenti </w:t>
      </w:r>
      <w:r>
        <w:sym w:font="Symbol" w:char="F0AE"/>
      </w:r>
      <w:r>
        <w:t xml:space="preserve"> a parthormon elválasztást elindítja </w:t>
      </w:r>
      <w:r>
        <w:sym w:font="Symbol" w:char="F0AE"/>
      </w:r>
      <w:r>
        <w:t xml:space="preserve"> az viszont ellentétes hatású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spacing w:line="360" w:lineRule="auto"/>
      </w:pPr>
      <w:proofErr w:type="spellStart"/>
      <w:r>
        <w:t>Bifoszfonát</w:t>
      </w:r>
      <w:proofErr w:type="spellEnd"/>
      <w:r>
        <w:t xml:space="preserve"> + D </w:t>
      </w:r>
      <w:proofErr w:type="spellStart"/>
      <w:r>
        <w:t>vit</w:t>
      </w:r>
      <w:proofErr w:type="spellEnd"/>
      <w:r>
        <w:t xml:space="preserve"> </w:t>
      </w:r>
      <w:r>
        <w:sym w:font="Symbol" w:char="F0AE"/>
      </w:r>
      <w:r>
        <w:t xml:space="preserve">  (a D </w:t>
      </w:r>
      <w:proofErr w:type="spellStart"/>
      <w:r>
        <w:t>vit</w:t>
      </w:r>
      <w:proofErr w:type="spellEnd"/>
      <w:r>
        <w:t xml:space="preserve"> elnyomja a </w:t>
      </w:r>
      <w:proofErr w:type="spellStart"/>
      <w:r>
        <w:t>parathormon</w:t>
      </w:r>
      <w:proofErr w:type="spellEnd"/>
      <w:r>
        <w:t xml:space="preserve"> hatását </w:t>
      </w:r>
      <w:r>
        <w:sym w:font="Symbol" w:char="F0AE"/>
      </w:r>
      <w:r>
        <w:t xml:space="preserve"> megnyúlik a </w:t>
      </w:r>
      <w:proofErr w:type="spellStart"/>
      <w:r>
        <w:t>bifoszfonát</w:t>
      </w:r>
      <w:proofErr w:type="spellEnd"/>
      <w:r>
        <w:t xml:space="preserve"> hatás, tovább érvényesül)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alendronat</w:t>
      </w:r>
      <w:proofErr w:type="spellEnd"/>
      <w:r>
        <w:t xml:space="preserve"> + D </w:t>
      </w:r>
      <w:proofErr w:type="spellStart"/>
      <w:r>
        <w:t>vit</w:t>
      </w:r>
      <w:proofErr w:type="spellEnd"/>
      <w:r w:rsidRPr="00CA6459">
        <w:t xml:space="preserve"> </w:t>
      </w:r>
      <w:r>
        <w:tab/>
      </w:r>
      <w:r w:rsidRPr="00CA6459">
        <w:t>FOSAVANCE</w:t>
      </w:r>
    </w:p>
    <w:p w:rsidR="001632EB" w:rsidRPr="00CA6459" w:rsidRDefault="001632EB" w:rsidP="001632EB">
      <w:pPr>
        <w:tabs>
          <w:tab w:val="left" w:pos="709"/>
          <w:tab w:val="left" w:pos="2694"/>
        </w:tabs>
        <w:spacing w:line="360" w:lineRule="auto"/>
      </w:pPr>
    </w:p>
    <w:p w:rsidR="001632EB" w:rsidRPr="0018151D" w:rsidRDefault="001632EB" w:rsidP="001632EB">
      <w:pPr>
        <w:numPr>
          <w:ilvl w:val="0"/>
          <w:numId w:val="6"/>
        </w:numPr>
        <w:spacing w:after="0" w:line="360" w:lineRule="auto"/>
      </w:pPr>
      <w:r>
        <w:t>idős/60 év fölöttieknek ezek a szerek elsőként adandók.</w:t>
      </w:r>
    </w:p>
    <w:p w:rsidR="001632EB" w:rsidRDefault="001632EB" w:rsidP="001632EB">
      <w:pPr>
        <w:spacing w:line="360" w:lineRule="auto"/>
        <w:rPr>
          <w:b/>
        </w:rPr>
      </w:pPr>
    </w:p>
    <w:p w:rsidR="001632EB" w:rsidRPr="00022408" w:rsidRDefault="001632EB" w:rsidP="001632EB">
      <w:pPr>
        <w:spacing w:line="360" w:lineRule="auto"/>
        <w:rPr>
          <w:b/>
        </w:rPr>
      </w:pPr>
      <w:proofErr w:type="spellStart"/>
      <w:r>
        <w:rPr>
          <w:b/>
        </w:rPr>
        <w:t>Ca</w:t>
      </w:r>
      <w:r w:rsidRPr="00022408">
        <w:rPr>
          <w:b/>
        </w:rPr>
        <w:t>lcitonin</w:t>
      </w:r>
      <w:proofErr w:type="spellEnd"/>
    </w:p>
    <w:p w:rsidR="001632EB" w:rsidRDefault="001632EB" w:rsidP="001632EB">
      <w:pPr>
        <w:numPr>
          <w:ilvl w:val="0"/>
          <w:numId w:val="6"/>
        </w:numPr>
        <w:spacing w:after="0" w:line="360" w:lineRule="auto"/>
      </w:pPr>
      <w:r>
        <w:t xml:space="preserve">a </w:t>
      </w:r>
      <w:proofErr w:type="spellStart"/>
      <w:r>
        <w:t>Ca</w:t>
      </w:r>
      <w:proofErr w:type="spellEnd"/>
      <w:r>
        <w:t xml:space="preserve"> szintet csökkenti a ? gátlásával, elsősorban a labilis </w:t>
      </w:r>
      <w:proofErr w:type="spellStart"/>
      <w:r>
        <w:t>pool</w:t>
      </w:r>
      <w:proofErr w:type="spellEnd"/>
      <w:r>
        <w:t xml:space="preserve">/raktárból kerül ki a </w:t>
      </w:r>
      <w:proofErr w:type="spellStart"/>
      <w:r>
        <w:t>Ca</w:t>
      </w:r>
      <w:proofErr w:type="spellEnd"/>
      <w:r>
        <w:t>.</w:t>
      </w:r>
    </w:p>
    <w:p w:rsidR="001632EB" w:rsidRDefault="001632EB" w:rsidP="001632EB">
      <w:pPr>
        <w:numPr>
          <w:ilvl w:val="0"/>
          <w:numId w:val="6"/>
        </w:numPr>
        <w:spacing w:after="0" w:line="360" w:lineRule="auto"/>
      </w:pPr>
      <w:r>
        <w:t xml:space="preserve">orrspray formájában alkalmazzák. (Főleg ha v. milyen okból kifolyólag a </w:t>
      </w:r>
      <w:proofErr w:type="spellStart"/>
      <w:r>
        <w:t>bifoszfonátok</w:t>
      </w:r>
      <w:proofErr w:type="spellEnd"/>
      <w:r>
        <w:t xml:space="preserve"> nem adhatóak)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CA6459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miocalcic</w:t>
      </w:r>
      <w:proofErr w:type="spellEnd"/>
      <w:r>
        <w:tab/>
      </w:r>
      <w:r w:rsidRPr="00CA6459">
        <w:t>CALCO</w:t>
      </w:r>
    </w:p>
    <w:p w:rsidR="001632EB" w:rsidRDefault="001632EB" w:rsidP="001632EB">
      <w:pPr>
        <w:spacing w:line="360" w:lineRule="auto"/>
        <w:rPr>
          <w:b/>
        </w:rPr>
      </w:pPr>
    </w:p>
    <w:p w:rsidR="001632EB" w:rsidRDefault="001632EB" w:rsidP="001632EB">
      <w:pPr>
        <w:spacing w:line="360" w:lineRule="auto"/>
        <w:rPr>
          <w:b/>
        </w:rPr>
      </w:pPr>
    </w:p>
    <w:p w:rsidR="001632EB" w:rsidRDefault="001632EB" w:rsidP="001632EB">
      <w:pPr>
        <w:spacing w:line="360" w:lineRule="auto"/>
        <w:rPr>
          <w:b/>
        </w:rPr>
      </w:pPr>
    </w:p>
    <w:p w:rsidR="001632EB" w:rsidRDefault="001632EB" w:rsidP="001632EB">
      <w:pPr>
        <w:spacing w:line="360" w:lineRule="auto"/>
        <w:rPr>
          <w:b/>
        </w:rPr>
      </w:pPr>
    </w:p>
    <w:p w:rsidR="001632EB" w:rsidRPr="00FA07E6" w:rsidRDefault="001632EB" w:rsidP="001632EB">
      <w:pPr>
        <w:spacing w:line="360" w:lineRule="auto"/>
        <w:rPr>
          <w:b/>
        </w:rPr>
      </w:pPr>
      <w:proofErr w:type="spellStart"/>
      <w:r w:rsidRPr="00FA07E6">
        <w:rPr>
          <w:b/>
        </w:rPr>
        <w:t>Monoklonális</w:t>
      </w:r>
      <w:proofErr w:type="spellEnd"/>
      <w:r w:rsidRPr="00FA07E6">
        <w:rPr>
          <w:b/>
        </w:rPr>
        <w:t xml:space="preserve"> antitestek adása</w:t>
      </w:r>
    </w:p>
    <w:p w:rsidR="001632EB" w:rsidRDefault="001632EB" w:rsidP="001632EB">
      <w:pPr>
        <w:numPr>
          <w:ilvl w:val="0"/>
          <w:numId w:val="7"/>
        </w:numPr>
        <w:spacing w:after="0" w:line="360" w:lineRule="auto"/>
      </w:pPr>
      <w:r>
        <w:t xml:space="preserve">Az antitest az ellen a specifikus </w:t>
      </w:r>
      <w:proofErr w:type="spellStart"/>
      <w:r>
        <w:t>fehérje-ligand</w:t>
      </w:r>
      <w:proofErr w:type="spellEnd"/>
      <w:r>
        <w:t xml:space="preserve"> ellen termelődik, amely a csontbontó sejtek </w:t>
      </w:r>
      <w:r w:rsidRPr="00FA07E6">
        <w:t>receptor</w:t>
      </w:r>
      <w:r>
        <w:t xml:space="preserve">ához kötődve kiváltja az </w:t>
      </w:r>
      <w:proofErr w:type="spellStart"/>
      <w:r>
        <w:t>osteocl</w:t>
      </w:r>
      <w:r w:rsidRPr="00FA07E6">
        <w:t>astok</w:t>
      </w:r>
      <w:proofErr w:type="spellEnd"/>
      <w:r w:rsidRPr="00FA07E6">
        <w:t xml:space="preserve"> aktivitását</w:t>
      </w:r>
      <w:r>
        <w:t xml:space="preserve">. A </w:t>
      </w:r>
      <w:proofErr w:type="spellStart"/>
      <w:r>
        <w:t>monoklonális</w:t>
      </w:r>
      <w:proofErr w:type="spellEnd"/>
      <w:r>
        <w:t xml:space="preserve"> antitesttel megkötjük a fehérje </w:t>
      </w:r>
      <w:proofErr w:type="spellStart"/>
      <w:r>
        <w:t>ligandhoz</w:t>
      </w:r>
      <w:proofErr w:type="spellEnd"/>
      <w:r>
        <w:t xml:space="preserve">, megakadályozzuk, hogy hozzákötődjön az </w:t>
      </w:r>
      <w:proofErr w:type="spellStart"/>
      <w:r>
        <w:t>oszteoclastokhoz</w:t>
      </w:r>
      <w:proofErr w:type="spellEnd"/>
      <w:r>
        <w:t>, így megakadályozzuk a csontbontást.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denosumab</w:t>
      </w:r>
      <w:proofErr w:type="spellEnd"/>
      <w:r>
        <w:tab/>
      </w:r>
      <w:r w:rsidRPr="0009003A">
        <w:t>PROLIA</w:t>
      </w:r>
    </w:p>
    <w:p w:rsidR="001632EB" w:rsidRPr="0009003A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</w:p>
    <w:p w:rsidR="001632EB" w:rsidRDefault="001632EB" w:rsidP="001632EB">
      <w:pPr>
        <w:numPr>
          <w:ilvl w:val="0"/>
          <w:numId w:val="7"/>
        </w:numPr>
        <w:spacing w:after="0" w:line="360" w:lineRule="auto"/>
      </w:pPr>
      <w:proofErr w:type="spellStart"/>
      <w:r>
        <w:lastRenderedPageBreak/>
        <w:t>postmenopausális</w:t>
      </w:r>
      <w:proofErr w:type="spellEnd"/>
      <w:r>
        <w:t xml:space="preserve"> osteoporosis (nők), és prosztata </w:t>
      </w:r>
      <w:proofErr w:type="spellStart"/>
      <w:r>
        <w:t>karcinomák</w:t>
      </w:r>
      <w:proofErr w:type="spellEnd"/>
      <w:r>
        <w:t xml:space="preserve"> okozta csontáttétek esetén alkalmazzák (férfiak)</w:t>
      </w:r>
    </w:p>
    <w:p w:rsidR="001632EB" w:rsidRPr="00FA07E6" w:rsidRDefault="001632EB" w:rsidP="001632EB">
      <w:pPr>
        <w:numPr>
          <w:ilvl w:val="0"/>
          <w:numId w:val="7"/>
        </w:numPr>
        <w:spacing w:after="0" w:line="360" w:lineRule="auto"/>
        <w:rPr>
          <w:b/>
        </w:rPr>
      </w:pPr>
      <w:r>
        <w:t>1 db/6 h</w:t>
      </w:r>
      <w:r w:rsidRPr="00FA07E6">
        <w:t>ónap</w:t>
      </w:r>
      <w:r>
        <w:t>. Fertőzés veszélyével számolni kell</w:t>
      </w:r>
    </w:p>
    <w:p w:rsidR="001632EB" w:rsidRDefault="001632EB" w:rsidP="001632EB">
      <w:pPr>
        <w:spacing w:line="360" w:lineRule="auto"/>
      </w:pPr>
    </w:p>
    <w:p w:rsidR="001632EB" w:rsidRPr="001632EB" w:rsidRDefault="001632EB" w:rsidP="001632EB">
      <w:pPr>
        <w:spacing w:line="360" w:lineRule="auto"/>
      </w:pPr>
      <w:r w:rsidRPr="00B550B4">
        <w:rPr>
          <w:b/>
        </w:rPr>
        <w:t>II. A csontképzést fokozó gyógyszerek</w:t>
      </w:r>
      <w:r>
        <w:t xml:space="preserve"> (</w:t>
      </w:r>
      <w:proofErr w:type="spellStart"/>
      <w:r>
        <w:t>osteoblast</w:t>
      </w:r>
      <w:proofErr w:type="spellEnd"/>
      <w:r>
        <w:t xml:space="preserve"> aktivitást serkentik)</w:t>
      </w:r>
    </w:p>
    <w:p w:rsidR="001632EB" w:rsidRDefault="001632EB" w:rsidP="001632EB">
      <w:pPr>
        <w:tabs>
          <w:tab w:val="left" w:pos="709"/>
          <w:tab w:val="left" w:pos="2694"/>
        </w:tabs>
        <w:spacing w:line="360" w:lineRule="auto"/>
      </w:pPr>
      <w:r w:rsidRPr="0009003A">
        <w:tab/>
      </w:r>
      <w:proofErr w:type="spellStart"/>
      <w:r>
        <w:t>t</w:t>
      </w:r>
      <w:r w:rsidRPr="0009003A">
        <w:t>eriparatid</w:t>
      </w:r>
      <w:proofErr w:type="spellEnd"/>
      <w:r w:rsidRPr="0009003A">
        <w:t xml:space="preserve"> </w:t>
      </w:r>
      <w:r w:rsidRPr="0009003A">
        <w:tab/>
      </w:r>
      <w:r>
        <w:t>FORSTEO</w:t>
      </w:r>
    </w:p>
    <w:p w:rsidR="001632EB" w:rsidRDefault="001632EB" w:rsidP="001632EB">
      <w:pPr>
        <w:numPr>
          <w:ilvl w:val="0"/>
          <w:numId w:val="8"/>
        </w:numPr>
        <w:spacing w:after="0" w:line="360" w:lineRule="auto"/>
      </w:pPr>
      <w:r>
        <w:t xml:space="preserve">géntechnológiával előállított humán </w:t>
      </w:r>
      <w:proofErr w:type="spellStart"/>
      <w:r>
        <w:t>parathormon</w:t>
      </w:r>
      <w:proofErr w:type="spellEnd"/>
      <w:r>
        <w:t xml:space="preserve"> analóg, ha kis adagban és </w:t>
      </w:r>
      <w:proofErr w:type="spellStart"/>
      <w:r>
        <w:t>intermittálva</w:t>
      </w:r>
      <w:proofErr w:type="spellEnd"/>
      <w:r>
        <w:t xml:space="preserve"> adjuk, fokozza a csontépítést</w:t>
      </w:r>
    </w:p>
    <w:p w:rsidR="001632EB" w:rsidRDefault="001632EB" w:rsidP="001632EB">
      <w:pPr>
        <w:numPr>
          <w:ilvl w:val="0"/>
          <w:numId w:val="8"/>
        </w:numPr>
        <w:spacing w:after="0" w:line="360" w:lineRule="auto"/>
      </w:pPr>
      <w:r>
        <w:t xml:space="preserve">öninjekció formájában kerül forgalomban, nagyon súlyos állapotok esetén alkalmazható,  </w:t>
      </w:r>
      <w:proofErr w:type="spellStart"/>
      <w:r>
        <w:t>max</w:t>
      </w:r>
      <w:proofErr w:type="spellEnd"/>
      <w:r>
        <w:t xml:space="preserve"> 18 hónapig.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Default="001632EB" w:rsidP="001632EB">
      <w:pPr>
        <w:tabs>
          <w:tab w:val="left" w:pos="709"/>
        </w:tabs>
        <w:spacing w:line="360" w:lineRule="auto"/>
      </w:pPr>
      <w:r>
        <w:tab/>
      </w:r>
      <w:r w:rsidRPr="0076324F">
        <w:t>fluorid</w:t>
      </w:r>
    </w:p>
    <w:p w:rsidR="001632EB" w:rsidRDefault="001632EB" w:rsidP="001632EB">
      <w:pPr>
        <w:numPr>
          <w:ilvl w:val="0"/>
          <w:numId w:val="9"/>
        </w:numPr>
        <w:spacing w:after="0" w:line="360" w:lineRule="auto"/>
      </w:pPr>
      <w:r>
        <w:t xml:space="preserve">segíti a csontfejlődést, de osteoporosis kezelésére nem adják, mert a töréseket nem tudja megakadályozni. </w:t>
      </w:r>
    </w:p>
    <w:p w:rsidR="001632EB" w:rsidRDefault="001632EB" w:rsidP="001632EB">
      <w:pPr>
        <w:numPr>
          <w:ilvl w:val="0"/>
          <w:numId w:val="9"/>
        </w:numPr>
        <w:spacing w:after="0" w:line="360" w:lineRule="auto"/>
      </w:pPr>
      <w:r>
        <w:t>a fogfejlődést elősegíti. Hatására a fogzománc keményebb lesz. Gyerekkori csontosodási problémák meglétekor adják.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805F37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  <w:t>Na-fluorid</w:t>
      </w:r>
      <w:r w:rsidRPr="00805F37">
        <w:t xml:space="preserve"> </w:t>
      </w:r>
      <w:r>
        <w:tab/>
        <w:t>DENTOKAR</w:t>
      </w:r>
    </w:p>
    <w:p w:rsidR="001632EB" w:rsidRPr="00805F37" w:rsidRDefault="001632EB" w:rsidP="001632EB">
      <w:pPr>
        <w:tabs>
          <w:tab w:val="left" w:pos="2694"/>
        </w:tabs>
        <w:spacing w:line="360" w:lineRule="auto"/>
      </w:pPr>
      <w:r>
        <w:tab/>
        <w:t>ELMEX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0"/>
        </w:numPr>
        <w:spacing w:after="0" w:line="360" w:lineRule="auto"/>
      </w:pPr>
      <w:r>
        <w:t>összetett hatású készítmény</w:t>
      </w:r>
    </w:p>
    <w:p w:rsidR="001632EB" w:rsidRDefault="001632EB" w:rsidP="001632EB">
      <w:pPr>
        <w:numPr>
          <w:ilvl w:val="0"/>
          <w:numId w:val="10"/>
        </w:numPr>
        <w:spacing w:after="0" w:line="360" w:lineRule="auto"/>
      </w:pPr>
      <w:r w:rsidRPr="00FA07E6">
        <w:t xml:space="preserve">D </w:t>
      </w:r>
      <w:proofErr w:type="spellStart"/>
      <w:r w:rsidRPr="00FA07E6">
        <w:t>vit</w:t>
      </w:r>
      <w:proofErr w:type="spellEnd"/>
      <w:r>
        <w:rPr>
          <w:color w:val="0000FF"/>
        </w:rPr>
        <w:tab/>
      </w:r>
      <w:r>
        <w:t>Befolyásolja magát a csont bontást, és az építést is.</w:t>
      </w:r>
    </w:p>
    <w:p w:rsidR="001632EB" w:rsidRPr="00805F37" w:rsidRDefault="001632EB" w:rsidP="001632EB">
      <w:pPr>
        <w:numPr>
          <w:ilvl w:val="0"/>
          <w:numId w:val="10"/>
        </w:numPr>
        <w:spacing w:after="0" w:line="360" w:lineRule="auto"/>
      </w:pPr>
    </w:p>
    <w:p w:rsidR="001632EB" w:rsidRPr="00805F37" w:rsidRDefault="001632EB" w:rsidP="001632EB">
      <w:pPr>
        <w:tabs>
          <w:tab w:val="left" w:pos="2694"/>
        </w:tabs>
        <w:spacing w:line="360" w:lineRule="auto"/>
      </w:pPr>
      <w:r>
        <w:tab/>
      </w:r>
      <w:r w:rsidRPr="00805F37">
        <w:t>Alfa D</w:t>
      </w:r>
      <w:r w:rsidRPr="00805F37">
        <w:rPr>
          <w:vertAlign w:val="subscript"/>
        </w:rPr>
        <w:t>3</w:t>
      </w:r>
    </w:p>
    <w:p w:rsidR="001632EB" w:rsidRPr="00805F37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 w:rsidRPr="00805F37">
        <w:t>Ca</w:t>
      </w:r>
      <w:proofErr w:type="spellEnd"/>
      <w:r w:rsidRPr="00805F37">
        <w:t xml:space="preserve"> + D </w:t>
      </w:r>
      <w:proofErr w:type="spellStart"/>
      <w:r w:rsidRPr="00805F37">
        <w:t>vit</w:t>
      </w:r>
      <w:proofErr w:type="spellEnd"/>
      <w:r w:rsidRPr="00805F37">
        <w:t xml:space="preserve"> </w:t>
      </w:r>
      <w:r>
        <w:tab/>
      </w:r>
      <w:proofErr w:type="spellStart"/>
      <w:r w:rsidRPr="00805F37">
        <w:t>Ca-D</w:t>
      </w:r>
      <w:proofErr w:type="spellEnd"/>
      <w:r w:rsidRPr="00805F37">
        <w:t xml:space="preserve"> </w:t>
      </w:r>
      <w:r>
        <w:t>SANDOZ</w:t>
      </w:r>
    </w:p>
    <w:p w:rsidR="001632EB" w:rsidRPr="00805F37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  <w:t>Stroncium</w:t>
      </w:r>
      <w:r>
        <w:tab/>
        <w:t>RANELAT</w:t>
      </w:r>
      <w:r w:rsidRPr="00805F37">
        <w:t xml:space="preserve"> </w:t>
      </w:r>
      <w:r>
        <w:t>PROTELOS</w:t>
      </w:r>
      <w:r w:rsidRPr="00805F37">
        <w:t xml:space="preserve"> </w:t>
      </w:r>
      <w:proofErr w:type="spellStart"/>
      <w:r w:rsidRPr="00805F37">
        <w:t>suspenzio</w:t>
      </w:r>
      <w:proofErr w:type="spellEnd"/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1"/>
        </w:numPr>
        <w:spacing w:after="0" w:line="360" w:lineRule="auto"/>
      </w:pPr>
      <w:r>
        <w:t>ez a csontépítést fokozza, a bontást gátolja. Az építés irányába tolódik a folyamat.</w:t>
      </w:r>
    </w:p>
    <w:p w:rsidR="001632EB" w:rsidRDefault="001632EB" w:rsidP="001632EB">
      <w:pPr>
        <w:numPr>
          <w:ilvl w:val="0"/>
          <w:numId w:val="11"/>
        </w:numPr>
        <w:spacing w:after="0" w:line="360" w:lineRule="auto"/>
      </w:pPr>
      <w:r>
        <w:lastRenderedPageBreak/>
        <w:t xml:space="preserve">időseknél hatékony. </w:t>
      </w:r>
    </w:p>
    <w:p w:rsidR="001632EB" w:rsidRDefault="001632EB" w:rsidP="001632EB">
      <w:pPr>
        <w:spacing w:line="360" w:lineRule="auto"/>
      </w:pPr>
    </w:p>
    <w:p w:rsidR="001632EB" w:rsidRPr="00796D20" w:rsidRDefault="001632EB" w:rsidP="001632EB">
      <w:pPr>
        <w:spacing w:line="360" w:lineRule="auto"/>
        <w:rPr>
          <w:b/>
        </w:rPr>
      </w:pPr>
      <w:proofErr w:type="spellStart"/>
      <w:r w:rsidRPr="00796D20">
        <w:rPr>
          <w:b/>
        </w:rPr>
        <w:t>Osteoarthrosisok</w:t>
      </w:r>
      <w:proofErr w:type="spellEnd"/>
    </w:p>
    <w:p w:rsidR="001632EB" w:rsidRDefault="001632EB" w:rsidP="001632EB">
      <w:pPr>
        <w:numPr>
          <w:ilvl w:val="0"/>
          <w:numId w:val="12"/>
        </w:numPr>
        <w:spacing w:after="0" w:line="360" w:lineRule="auto"/>
      </w:pPr>
      <w:r>
        <w:t xml:space="preserve">Kopásos ízületi </w:t>
      </w:r>
      <w:proofErr w:type="spellStart"/>
      <w:r>
        <w:t>degeneratív</w:t>
      </w:r>
      <w:proofErr w:type="spellEnd"/>
      <w:r>
        <w:t xml:space="preserve"> bántalom. </w:t>
      </w:r>
    </w:p>
    <w:p w:rsidR="001632EB" w:rsidRDefault="001632EB" w:rsidP="001632EB">
      <w:pPr>
        <w:numPr>
          <w:ilvl w:val="0"/>
          <w:numId w:val="12"/>
        </w:numPr>
        <w:spacing w:after="0" w:line="360" w:lineRule="auto"/>
      </w:pPr>
      <w:r>
        <w:t xml:space="preserve">Az ízületi porc folyamatosan leépül, szövetpusztulás következik be, </w:t>
      </w:r>
      <w:proofErr w:type="spellStart"/>
      <w:r>
        <w:t>porcdegeneráció</w:t>
      </w:r>
      <w:proofErr w:type="spellEnd"/>
      <w:r>
        <w:t xml:space="preserve"> alakul ki. A csontvégek szerkezete is megváltozik. A környező izmok sorvadnak.</w:t>
      </w:r>
    </w:p>
    <w:p w:rsidR="001632EB" w:rsidRDefault="001632EB" w:rsidP="001632EB">
      <w:pPr>
        <w:numPr>
          <w:ilvl w:val="0"/>
          <w:numId w:val="12"/>
        </w:numPr>
        <w:spacing w:after="0" w:line="360" w:lineRule="auto"/>
      </w:pPr>
      <w:r>
        <w:t xml:space="preserve">Fájdalom alakul ki, az ízület terhelhetősége csökken. </w:t>
      </w:r>
    </w:p>
    <w:p w:rsidR="001632EB" w:rsidRDefault="001632EB" w:rsidP="001632EB">
      <w:pPr>
        <w:numPr>
          <w:ilvl w:val="0"/>
          <w:numId w:val="12"/>
        </w:numPr>
        <w:spacing w:after="0" w:line="360" w:lineRule="auto"/>
      </w:pPr>
      <w:r>
        <w:t xml:space="preserve">A kezelés elsősorban a prevencióra helyezi a hangsúlyt: </w:t>
      </w:r>
      <w:r w:rsidRPr="006C1760">
        <w:rPr>
          <w:u w:val="single"/>
        </w:rPr>
        <w:t>Súlyfelesleg leadása, folyamatos testedzés, aktív élet. NSAID gyulladáscsökkentők adása</w:t>
      </w:r>
      <w:r>
        <w:t xml:space="preserve">. De ezeket túl hosszú ideig adva károsítják a kollagén képződést. 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spacing w:line="360" w:lineRule="auto"/>
      </w:pPr>
      <w:r>
        <w:t xml:space="preserve">Erősebb fájdalomcsillapítás szükséges: ízületbe adott </w:t>
      </w:r>
      <w:proofErr w:type="spellStart"/>
      <w:r>
        <w:t>glükokortikoidokkal</w:t>
      </w:r>
      <w:proofErr w:type="spellEnd"/>
      <w:r>
        <w:t xml:space="preserve"> dolgoznak.</w:t>
      </w:r>
    </w:p>
    <w:p w:rsidR="001632EB" w:rsidRPr="001632EB" w:rsidRDefault="001632EB" w:rsidP="001632EB">
      <w:pPr>
        <w:spacing w:line="360" w:lineRule="auto"/>
      </w:pPr>
      <w:r>
        <w:t>Legújabb technika a p</w:t>
      </w:r>
      <w:r w:rsidRPr="006C1760">
        <w:rPr>
          <w:u w:val="single"/>
        </w:rPr>
        <w:t>orcépítés</w:t>
      </w:r>
      <w:r>
        <w:t xml:space="preserve">e. A porcszövet </w:t>
      </w:r>
      <w:proofErr w:type="spellStart"/>
      <w:r>
        <w:t>sejtközötti</w:t>
      </w:r>
      <w:proofErr w:type="spellEnd"/>
      <w:r>
        <w:t xml:space="preserve"> állományának fontos összetevője a </w:t>
      </w:r>
      <w:proofErr w:type="spellStart"/>
      <w:r>
        <w:t>glükozamin</w:t>
      </w:r>
      <w:proofErr w:type="spellEnd"/>
      <w:r>
        <w:t xml:space="preserve">. Ez segíti a károsodott porc regenerációját. Elősegíti a szulfát ionok porcba való beépülését, és a bontó enzimek aktivitását gátolja. </w:t>
      </w:r>
    </w:p>
    <w:p w:rsidR="001632EB" w:rsidRPr="00796D20" w:rsidRDefault="001632EB" w:rsidP="001632EB">
      <w:pPr>
        <w:tabs>
          <w:tab w:val="left" w:pos="709"/>
        </w:tabs>
        <w:spacing w:line="360" w:lineRule="auto"/>
      </w:pPr>
      <w:r>
        <w:rPr>
          <w:color w:val="0000FF"/>
        </w:rPr>
        <w:tab/>
      </w:r>
      <w:r>
        <w:t>DONA</w:t>
      </w:r>
    </w:p>
    <w:p w:rsidR="001632EB" w:rsidRDefault="001632EB" w:rsidP="001632EB">
      <w:pPr>
        <w:numPr>
          <w:ilvl w:val="0"/>
          <w:numId w:val="13"/>
        </w:numPr>
        <w:spacing w:after="0" w:line="360" w:lineRule="auto"/>
      </w:pPr>
      <w:r>
        <w:t>Ezt 3 h</w:t>
      </w:r>
      <w:r w:rsidRPr="006C1760">
        <w:t>ónapig</w:t>
      </w:r>
      <w:r>
        <w:t xml:space="preserve"> javasolt szedni majd 2 hónap szünet.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Default="001632EB" w:rsidP="001632EB">
      <w:pPr>
        <w:tabs>
          <w:tab w:val="left" w:pos="709"/>
        </w:tabs>
        <w:spacing w:line="360" w:lineRule="auto"/>
      </w:pPr>
      <w:r>
        <w:tab/>
        <w:t>PROENZI 3</w:t>
      </w:r>
    </w:p>
    <w:p w:rsidR="001632EB" w:rsidRDefault="001632EB" w:rsidP="001632EB">
      <w:pPr>
        <w:numPr>
          <w:ilvl w:val="0"/>
          <w:numId w:val="13"/>
        </w:numPr>
        <w:spacing w:after="0" w:line="360" w:lineRule="auto"/>
      </w:pPr>
      <w:r>
        <w:t>Ezt 3 h</w:t>
      </w:r>
      <w:r w:rsidRPr="006C1760">
        <w:t>ónapig</w:t>
      </w:r>
      <w:r>
        <w:t xml:space="preserve"> javasolt szedni majd 2 hónap szünet.</w:t>
      </w:r>
    </w:p>
    <w:p w:rsidR="001632EB" w:rsidRDefault="001632EB" w:rsidP="001632EB">
      <w:pPr>
        <w:spacing w:line="360" w:lineRule="auto"/>
        <w:rPr>
          <w:u w:val="single"/>
        </w:rPr>
      </w:pPr>
    </w:p>
    <w:p w:rsidR="001632EB" w:rsidRPr="00B550B4" w:rsidRDefault="001632EB" w:rsidP="001632EB">
      <w:pPr>
        <w:spacing w:line="360" w:lineRule="auto"/>
        <w:rPr>
          <w:b/>
          <w:u w:val="single"/>
        </w:rPr>
      </w:pPr>
      <w:r w:rsidRPr="00B550B4">
        <w:rPr>
          <w:b/>
          <w:u w:val="single"/>
        </w:rPr>
        <w:t>Fizioterápia, műtét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spacing w:line="360" w:lineRule="auto"/>
      </w:pPr>
      <w:r>
        <w:t>RA</w:t>
      </w:r>
    </w:p>
    <w:p w:rsidR="001632EB" w:rsidRDefault="001632EB" w:rsidP="001632EB">
      <w:pPr>
        <w:spacing w:line="360" w:lineRule="auto"/>
      </w:pPr>
      <w:r>
        <w:t xml:space="preserve">Autoimmun alapon kialakuló gyulladásos elváltozás. Főleg a kis ízületeket támadja meg kezdetben (kéz, csukló, láb). Később valamennyi ízületre kiterjedhet. Egyéb szerveket is megtámad (tüdő, szív, szem). A betegség hosszú lefolyású, remissziókkal, </w:t>
      </w:r>
      <w:proofErr w:type="spellStart"/>
      <w:r>
        <w:t>relapszusokkal</w:t>
      </w:r>
      <w:proofErr w:type="spellEnd"/>
      <w:r>
        <w:t xml:space="preserve">. A folyamat kialakulása során a bőr </w:t>
      </w:r>
      <w:r>
        <w:lastRenderedPageBreak/>
        <w:t>alatti kötőszövetben csomók alakulnak ki (</w:t>
      </w:r>
      <w:proofErr w:type="spellStart"/>
      <w:r>
        <w:t>tophus</w:t>
      </w:r>
      <w:proofErr w:type="spellEnd"/>
      <w:r>
        <w:t>). Gyulladásos folyamat indul, amely az ízületi tokra is ráterjed. Végül a környező izmok is deformálódhatnak. A folyamatban 3 fázis elkülöníthető</w:t>
      </w:r>
    </w:p>
    <w:p w:rsidR="001632EB" w:rsidRDefault="001632EB" w:rsidP="001632EB">
      <w:pPr>
        <w:spacing w:line="360" w:lineRule="auto"/>
        <w:ind w:left="705" w:hanging="705"/>
      </w:pPr>
    </w:p>
    <w:p w:rsidR="001632EB" w:rsidRDefault="001632EB" w:rsidP="001632EB">
      <w:pPr>
        <w:spacing w:line="360" w:lineRule="auto"/>
        <w:ind w:left="705" w:hanging="705"/>
      </w:pPr>
      <w:r>
        <w:t>I.</w:t>
      </w:r>
      <w:r>
        <w:tab/>
        <w:t xml:space="preserve">Az ízületi belhártya érgyulladása alakul ki. Az érfalon át </w:t>
      </w:r>
      <w:proofErr w:type="spellStart"/>
      <w:r>
        <w:t>T-limfociták</w:t>
      </w:r>
      <w:proofErr w:type="spellEnd"/>
      <w:r>
        <w:t xml:space="preserve"> lépnek be az ízületi hártyába, aktiválják a </w:t>
      </w:r>
      <w:proofErr w:type="spellStart"/>
      <w:r>
        <w:t>B-limfocitákat</w:t>
      </w:r>
      <w:proofErr w:type="spellEnd"/>
      <w:r>
        <w:t>. Antitestet/ellenanyagot termelnek (</w:t>
      </w:r>
      <w:proofErr w:type="spellStart"/>
      <w:r>
        <w:t>IgM</w:t>
      </w:r>
      <w:proofErr w:type="spellEnd"/>
      <w:r>
        <w:t>).</w:t>
      </w:r>
    </w:p>
    <w:p w:rsidR="001632EB" w:rsidRDefault="001632EB" w:rsidP="001632EB">
      <w:pPr>
        <w:spacing w:line="360" w:lineRule="auto"/>
        <w:ind w:left="705" w:hanging="705"/>
      </w:pPr>
      <w:r>
        <w:t>II.</w:t>
      </w:r>
      <w:r>
        <w:tab/>
        <w:t>Gyulladásos/</w:t>
      </w:r>
      <w:proofErr w:type="spellStart"/>
      <w:r>
        <w:t>exudatív</w:t>
      </w:r>
      <w:proofErr w:type="spellEnd"/>
      <w:r>
        <w:t xml:space="preserve"> fázis. Az antigén az antitesttel kapcsolódik </w:t>
      </w:r>
      <w:r>
        <w:sym w:font="Symbol" w:char="F0AE"/>
      </w:r>
      <w:r>
        <w:t xml:space="preserve"> aktiválódik a komplement rendszer, fagociták jelennek meg, Ezekből olyan anyagok szabadulnak fel, melyek gyulladást indítanak, illetve sejtpusztulást okoznak. </w:t>
      </w:r>
    </w:p>
    <w:p w:rsidR="001632EB" w:rsidRDefault="001632EB" w:rsidP="001632EB">
      <w:pPr>
        <w:spacing w:line="360" w:lineRule="auto"/>
        <w:ind w:left="705" w:hanging="705"/>
      </w:pPr>
      <w:r>
        <w:t>III</w:t>
      </w:r>
      <w:r>
        <w:tab/>
        <w:t xml:space="preserve">Szövetszaporodási fázis. Ennek során az ízületi hártya sejtjei szaporodnak, rákúsznak az ízületi tokra, azt mechanikusan és </w:t>
      </w:r>
      <w:proofErr w:type="spellStart"/>
      <w:r>
        <w:t>enzimatikusan</w:t>
      </w:r>
      <w:proofErr w:type="spellEnd"/>
      <w:r>
        <w:t xml:space="preserve"> elpusztítják.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spacing w:line="360" w:lineRule="auto"/>
      </w:pPr>
      <w:r>
        <w:t>A kezelés során fontos a beteggel való együttműködés. !Tájékoztatás! Gyógyulási lehetőség nincs, csak a progresszió lassítható. Aktív szakban az ízületet pihentetni kell. Gyógytorna elengedhetetlen. Gyógyszeres kezelés. Fizioterápia.</w:t>
      </w:r>
    </w:p>
    <w:p w:rsidR="001632EB" w:rsidRDefault="001632EB" w:rsidP="001632EB">
      <w:pPr>
        <w:spacing w:line="360" w:lineRule="auto"/>
        <w:rPr>
          <w:u w:val="single"/>
        </w:rPr>
      </w:pPr>
    </w:p>
    <w:p w:rsidR="001632EB" w:rsidRPr="00B550B4" w:rsidRDefault="001632EB" w:rsidP="001632EB">
      <w:pPr>
        <w:spacing w:line="360" w:lineRule="auto"/>
        <w:rPr>
          <w:b/>
          <w:u w:val="single"/>
        </w:rPr>
      </w:pPr>
      <w:r w:rsidRPr="00B550B4">
        <w:rPr>
          <w:b/>
          <w:u w:val="single"/>
        </w:rPr>
        <w:t>Gyógyszeres kezelés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spacing w:line="360" w:lineRule="auto"/>
      </w:pPr>
      <w:r>
        <w:t>Legfontosabb a fájdalom és gyulladás csökkentése.</w:t>
      </w:r>
    </w:p>
    <w:p w:rsidR="001632EB" w:rsidRDefault="001632EB" w:rsidP="001632EB">
      <w:pPr>
        <w:spacing w:line="360" w:lineRule="auto"/>
      </w:pPr>
      <w:r>
        <w:t>(Átnézni a tavalyit.)</w:t>
      </w:r>
    </w:p>
    <w:p w:rsidR="001632EB" w:rsidRDefault="001632EB" w:rsidP="001632EB">
      <w:pPr>
        <w:spacing w:line="360" w:lineRule="auto"/>
      </w:pPr>
      <w:r>
        <w:t xml:space="preserve">Kezelésben is fokozatosság elve </w:t>
      </w:r>
      <w:r>
        <w:sym w:font="Symbol" w:char="F0AE"/>
      </w:r>
      <w:r>
        <w:t xml:space="preserve"> </w:t>
      </w:r>
      <w:r w:rsidRPr="00E060DD">
        <w:rPr>
          <w:i/>
        </w:rPr>
        <w:t>Legenyhébb szerek NSAID szerek lokális alkalmazása</w:t>
      </w:r>
      <w:r>
        <w:rPr>
          <w:i/>
        </w:rPr>
        <w:t xml:space="preserve"> </w:t>
      </w:r>
      <w:r>
        <w:sym w:font="Symbol" w:char="F0AE"/>
      </w:r>
      <w:r>
        <w:t xml:space="preserve"> (Csak akkor lehetséges, ha a folyamat 1 v. 2 ízületet érint).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F7455F" w:rsidRDefault="001632EB" w:rsidP="001632EB">
      <w:pPr>
        <w:tabs>
          <w:tab w:val="left" w:pos="709"/>
          <w:tab w:val="left" w:pos="2835"/>
        </w:tabs>
        <w:spacing w:line="360" w:lineRule="auto"/>
      </w:pPr>
      <w:r>
        <w:tab/>
      </w:r>
      <w:proofErr w:type="spellStart"/>
      <w:r>
        <w:t>fenilbutazon</w:t>
      </w:r>
      <w:proofErr w:type="spellEnd"/>
      <w:r>
        <w:t xml:space="preserve"> kenőcs</w:t>
      </w:r>
      <w:r w:rsidRPr="00F7455F">
        <w:t xml:space="preserve"> </w:t>
      </w:r>
      <w:r>
        <w:tab/>
      </w:r>
      <w:r w:rsidRPr="00F7455F">
        <w:t>FENILBUTAZON</w:t>
      </w:r>
    </w:p>
    <w:p w:rsidR="001632EB" w:rsidRPr="00FE7180" w:rsidRDefault="001632EB" w:rsidP="001632EB">
      <w:pPr>
        <w:numPr>
          <w:ilvl w:val="0"/>
          <w:numId w:val="13"/>
        </w:numPr>
        <w:spacing w:after="0" w:line="360" w:lineRule="auto"/>
      </w:pPr>
      <w:r>
        <w:t>Csak lokálisan</w:t>
      </w:r>
    </w:p>
    <w:p w:rsidR="001632EB" w:rsidRPr="00F7455F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d</w:t>
      </w:r>
      <w:r w:rsidRPr="00F7455F">
        <w:t>iclophenac</w:t>
      </w:r>
      <w:proofErr w:type="spellEnd"/>
      <w:r w:rsidRPr="00F7455F">
        <w:t xml:space="preserve"> </w:t>
      </w:r>
      <w:r>
        <w:tab/>
      </w:r>
      <w:r w:rsidRPr="00F7455F">
        <w:t xml:space="preserve">DICLOFENAC, VOLTAREN </w:t>
      </w:r>
    </w:p>
    <w:p w:rsidR="001632EB" w:rsidRPr="00F7455F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ibuprofen</w:t>
      </w:r>
      <w:proofErr w:type="spellEnd"/>
      <w:r w:rsidRPr="00F7455F">
        <w:t xml:space="preserve"> </w:t>
      </w:r>
      <w:r>
        <w:tab/>
        <w:t>IBUTOP</w:t>
      </w:r>
    </w:p>
    <w:p w:rsidR="001632EB" w:rsidRDefault="001632EB" w:rsidP="001632EB">
      <w:pPr>
        <w:spacing w:line="360" w:lineRule="auto"/>
      </w:pPr>
    </w:p>
    <w:p w:rsidR="001632EB" w:rsidRPr="00FE7180" w:rsidRDefault="001632EB" w:rsidP="001632EB">
      <w:pPr>
        <w:numPr>
          <w:ilvl w:val="0"/>
          <w:numId w:val="13"/>
        </w:numPr>
        <w:spacing w:after="0" w:line="360" w:lineRule="auto"/>
      </w:pPr>
      <w:r>
        <w:t xml:space="preserve">(Kenőcs gél) pakolással, vagy </w:t>
      </w:r>
      <w:proofErr w:type="spellStart"/>
      <w:r>
        <w:t>iontoforézissel</w:t>
      </w:r>
      <w:proofErr w:type="spellEnd"/>
      <w:r>
        <w:t xml:space="preserve"> vihető be a szervezetbe</w:t>
      </w:r>
    </w:p>
    <w:p w:rsidR="001632EB" w:rsidRDefault="001632EB" w:rsidP="001632EB">
      <w:pPr>
        <w:numPr>
          <w:ilvl w:val="0"/>
          <w:numId w:val="13"/>
        </w:numPr>
        <w:spacing w:after="0" w:line="360" w:lineRule="auto"/>
      </w:pPr>
      <w:r>
        <w:t>szisztémásan</w:t>
      </w:r>
    </w:p>
    <w:p w:rsidR="001632EB" w:rsidRDefault="001632EB" w:rsidP="001632EB">
      <w:pPr>
        <w:spacing w:line="360" w:lineRule="auto"/>
      </w:pPr>
    </w:p>
    <w:p w:rsidR="001632EB" w:rsidRPr="00F7455F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ibuprofen</w:t>
      </w:r>
      <w:proofErr w:type="spellEnd"/>
      <w:r w:rsidRPr="00F7455F">
        <w:t xml:space="preserve"> </w:t>
      </w:r>
      <w:r>
        <w:tab/>
      </w:r>
      <w:r w:rsidRPr="00F7455F">
        <w:t>ALGOFLEX</w:t>
      </w:r>
    </w:p>
    <w:p w:rsidR="001632EB" w:rsidRPr="00F7455F" w:rsidRDefault="001632EB" w:rsidP="001632EB">
      <w:pPr>
        <w:tabs>
          <w:tab w:val="left" w:pos="709"/>
          <w:tab w:val="left" w:pos="2694"/>
        </w:tabs>
        <w:spacing w:line="360" w:lineRule="auto"/>
        <w:rPr>
          <w:b/>
        </w:rPr>
      </w:pPr>
      <w:r>
        <w:tab/>
      </w:r>
      <w:proofErr w:type="spellStart"/>
      <w:r>
        <w:t>na</w:t>
      </w:r>
      <w:r w:rsidRPr="00F7455F">
        <w:t>bumeton</w:t>
      </w:r>
      <w:proofErr w:type="spellEnd"/>
      <w:r>
        <w:tab/>
        <w:t>RELIFEX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4"/>
        </w:numPr>
        <w:spacing w:after="0" w:line="360" w:lineRule="auto"/>
      </w:pPr>
      <w:r>
        <w:t xml:space="preserve">A két hatóanyag közt a különbség: A </w:t>
      </w:r>
      <w:proofErr w:type="spellStart"/>
      <w:r>
        <w:t>nabumeton</w:t>
      </w:r>
      <w:proofErr w:type="spellEnd"/>
      <w:r>
        <w:t xml:space="preserve"> csak a </w:t>
      </w:r>
      <w:proofErr w:type="spellStart"/>
      <w:r>
        <w:t>cox</w:t>
      </w:r>
      <w:proofErr w:type="spellEnd"/>
      <w:r>
        <w:t xml:space="preserve"> 2-öt gátolja, csak a gyulladás fején fejti ki a hatását </w:t>
      </w:r>
      <w:r>
        <w:sym w:font="Symbol" w:char="F0AE"/>
      </w:r>
      <w:r>
        <w:t xml:space="preserve"> kevesebb mellékhatás</w:t>
      </w:r>
    </w:p>
    <w:p w:rsidR="001632EB" w:rsidRPr="00FA07E6" w:rsidRDefault="001632EB" w:rsidP="001632EB">
      <w:pPr>
        <w:numPr>
          <w:ilvl w:val="0"/>
          <w:numId w:val="14"/>
        </w:numPr>
        <w:spacing w:after="0" w:line="360" w:lineRule="auto"/>
      </w:pPr>
      <w:r>
        <w:t>Mellékhatások: gyomorfekély, allergiás panaszok</w:t>
      </w:r>
    </w:p>
    <w:p w:rsidR="001632EB" w:rsidRDefault="001632EB" w:rsidP="001632EB">
      <w:pPr>
        <w:spacing w:line="360" w:lineRule="auto"/>
        <w:rPr>
          <w:i/>
        </w:rPr>
      </w:pPr>
    </w:p>
    <w:p w:rsidR="001632EB" w:rsidRDefault="001632EB" w:rsidP="001632EB">
      <w:pPr>
        <w:spacing w:line="360" w:lineRule="auto"/>
        <w:rPr>
          <w:i/>
        </w:rPr>
      </w:pPr>
      <w:proofErr w:type="spellStart"/>
      <w:r>
        <w:rPr>
          <w:i/>
        </w:rPr>
        <w:t>Glükokortikoidok</w:t>
      </w:r>
      <w:proofErr w:type="spellEnd"/>
    </w:p>
    <w:p w:rsidR="001632EB" w:rsidRPr="00B550B4" w:rsidRDefault="001632EB" w:rsidP="001632EB">
      <w:pPr>
        <w:spacing w:line="360" w:lineRule="auto"/>
        <w:rPr>
          <w:b/>
          <w:i/>
        </w:rPr>
      </w:pPr>
      <w:r w:rsidRPr="00B550B4">
        <w:rPr>
          <w:b/>
        </w:rPr>
        <w:t>1</w:t>
      </w:r>
      <w:r w:rsidRPr="00B550B4">
        <w:rPr>
          <w:b/>
          <w:i/>
        </w:rPr>
        <w:t xml:space="preserve">. </w:t>
      </w:r>
      <w:r w:rsidRPr="00B550B4">
        <w:rPr>
          <w:b/>
        </w:rPr>
        <w:t>Lokális</w:t>
      </w:r>
    </w:p>
    <w:p w:rsidR="001632EB" w:rsidRDefault="001632EB" w:rsidP="001632EB">
      <w:pPr>
        <w:numPr>
          <w:ilvl w:val="0"/>
          <w:numId w:val="15"/>
        </w:numPr>
        <w:spacing w:after="0" w:line="360" w:lineRule="auto"/>
      </w:pPr>
      <w:r>
        <w:t>Injekció formájában az ízületbe adják a kezelést.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444998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betametazon</w:t>
      </w:r>
      <w:proofErr w:type="spellEnd"/>
      <w:r w:rsidRPr="00444998">
        <w:t xml:space="preserve"> </w:t>
      </w:r>
      <w:r>
        <w:tab/>
      </w:r>
      <w:r w:rsidRPr="00444998">
        <w:t>D</w:t>
      </w:r>
      <w:r>
        <w:t>IPROPHOS</w:t>
      </w:r>
      <w:r w:rsidRPr="00444998">
        <w:t xml:space="preserve"> injekció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5"/>
        </w:numPr>
        <w:spacing w:after="0" w:line="360" w:lineRule="auto"/>
      </w:pPr>
      <w:r>
        <w:t>a kezelést csak szakorvos végezheti. (aki az aszeptikus környezetet és a szakértelmet tudja biztosítani)</w:t>
      </w:r>
    </w:p>
    <w:p w:rsidR="001632EB" w:rsidRDefault="001632EB" w:rsidP="001632EB">
      <w:pPr>
        <w:numPr>
          <w:ilvl w:val="0"/>
          <w:numId w:val="15"/>
        </w:numPr>
        <w:spacing w:after="0" w:line="360" w:lineRule="auto"/>
      </w:pPr>
      <w:r>
        <w:t>alkalmazás előtt ki kell zárni:</w:t>
      </w:r>
      <w:r>
        <w:tab/>
        <w:t>fertőzés megléte, gyógyszerérzékenység, vérzékenység</w:t>
      </w:r>
    </w:p>
    <w:p w:rsidR="001632EB" w:rsidRDefault="001632EB" w:rsidP="001632EB">
      <w:pPr>
        <w:spacing w:line="360" w:lineRule="auto"/>
      </w:pPr>
    </w:p>
    <w:p w:rsidR="001632EB" w:rsidRPr="00B550B4" w:rsidRDefault="001632EB" w:rsidP="001632EB">
      <w:pPr>
        <w:spacing w:line="360" w:lineRule="auto"/>
        <w:rPr>
          <w:b/>
        </w:rPr>
      </w:pPr>
      <w:r w:rsidRPr="00B550B4">
        <w:rPr>
          <w:b/>
        </w:rPr>
        <w:t xml:space="preserve">2. Szisztémás alkalmazása </w:t>
      </w:r>
    </w:p>
    <w:p w:rsidR="001632EB" w:rsidRDefault="001632EB" w:rsidP="001632EB">
      <w:pPr>
        <w:numPr>
          <w:ilvl w:val="0"/>
          <w:numId w:val="16"/>
        </w:numPr>
        <w:spacing w:after="0" w:line="360" w:lineRule="auto"/>
      </w:pPr>
      <w:r>
        <w:t xml:space="preserve">A gyulladáscsökkentő és </w:t>
      </w:r>
      <w:proofErr w:type="spellStart"/>
      <w:r>
        <w:t>immunszupresszív</w:t>
      </w:r>
      <w:proofErr w:type="spellEnd"/>
      <w:r>
        <w:t xml:space="preserve"> hatása a gyógyszernek is érvényesül.</w:t>
      </w:r>
    </w:p>
    <w:p w:rsidR="001632EB" w:rsidRDefault="001632EB" w:rsidP="001632EB">
      <w:pPr>
        <w:numPr>
          <w:ilvl w:val="0"/>
          <w:numId w:val="16"/>
        </w:numPr>
        <w:spacing w:after="0" w:line="360" w:lineRule="auto"/>
      </w:pPr>
      <w:r>
        <w:t>!</w:t>
      </w:r>
      <w:proofErr w:type="spellStart"/>
      <w:r>
        <w:t>Utánkövetés</w:t>
      </w:r>
      <w:proofErr w:type="spellEnd"/>
      <w:r>
        <w:t xml:space="preserve">! Különböző terápiás adagolási sémákat, és dózisokat alkalmaznak, hogy a </w:t>
      </w:r>
      <w:proofErr w:type="spellStart"/>
      <w:r>
        <w:t>glükokortikoidok</w:t>
      </w:r>
      <w:proofErr w:type="spellEnd"/>
      <w:r>
        <w:t xml:space="preserve"> mellékhatása kiküszöbölhető legyen (diabetes, fertőzések, osteoporosis)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m</w:t>
      </w:r>
      <w:r w:rsidRPr="00444998">
        <w:t>edrol</w:t>
      </w:r>
      <w:proofErr w:type="spellEnd"/>
      <w:r w:rsidRPr="00444998">
        <w:t xml:space="preserve"> </w:t>
      </w:r>
      <w:r>
        <w:tab/>
        <w:t>IPROXIMEDNIZOLON</w:t>
      </w:r>
    </w:p>
    <w:p w:rsidR="001632EB" w:rsidRDefault="001632EB" w:rsidP="001632EB">
      <w:pPr>
        <w:spacing w:line="360" w:lineRule="auto"/>
      </w:pPr>
    </w:p>
    <w:p w:rsidR="001632EB" w:rsidRPr="00B550B4" w:rsidRDefault="001632EB" w:rsidP="001632EB">
      <w:pPr>
        <w:spacing w:line="360" w:lineRule="auto"/>
        <w:rPr>
          <w:b/>
        </w:rPr>
      </w:pPr>
      <w:r w:rsidRPr="00B550B4">
        <w:rPr>
          <w:b/>
        </w:rPr>
        <w:t xml:space="preserve">3. </w:t>
      </w:r>
      <w:proofErr w:type="spellStart"/>
      <w:r w:rsidRPr="00B550B4">
        <w:rPr>
          <w:b/>
        </w:rPr>
        <w:t>Immunszupresszív</w:t>
      </w:r>
      <w:proofErr w:type="spellEnd"/>
      <w:r w:rsidRPr="00B550B4">
        <w:rPr>
          <w:b/>
        </w:rPr>
        <w:t xml:space="preserve"> kezelés</w:t>
      </w:r>
    </w:p>
    <w:p w:rsidR="001632EB" w:rsidRPr="00E33898" w:rsidRDefault="001632EB" w:rsidP="001632EB">
      <w:pPr>
        <w:numPr>
          <w:ilvl w:val="0"/>
          <w:numId w:val="17"/>
        </w:numPr>
        <w:spacing w:after="0" w:line="360" w:lineRule="auto"/>
      </w:pPr>
      <w:r>
        <w:t xml:space="preserve">csökkentjük az antitest termelést </w:t>
      </w:r>
      <w:r>
        <w:sym w:font="Symbol" w:char="F0AE"/>
      </w:r>
      <w:r>
        <w:t xml:space="preserve"> csökken a gyulladás</w:t>
      </w:r>
    </w:p>
    <w:p w:rsidR="001632EB" w:rsidRDefault="001632EB" w:rsidP="001632EB">
      <w:pPr>
        <w:tabs>
          <w:tab w:val="left" w:pos="709"/>
        </w:tabs>
        <w:spacing w:line="360" w:lineRule="auto"/>
      </w:pPr>
      <w:r>
        <w:tab/>
      </w:r>
    </w:p>
    <w:p w:rsidR="001632EB" w:rsidRDefault="001632EB" w:rsidP="001632EB">
      <w:pPr>
        <w:tabs>
          <w:tab w:val="left" w:pos="709"/>
        </w:tabs>
        <w:spacing w:line="360" w:lineRule="auto"/>
        <w:rPr>
          <w:color w:val="0000FF"/>
        </w:rPr>
      </w:pPr>
      <w:r>
        <w:tab/>
      </w:r>
      <w:proofErr w:type="spellStart"/>
      <w:r>
        <w:t>m</w:t>
      </w:r>
      <w:r w:rsidRPr="00E33898">
        <w:t>etatrexat</w:t>
      </w:r>
      <w:proofErr w:type="spellEnd"/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7"/>
        </w:numPr>
        <w:spacing w:after="0" w:line="360" w:lineRule="auto"/>
      </w:pPr>
      <w:r>
        <w:t>daganatellenes szer</w:t>
      </w:r>
    </w:p>
    <w:p w:rsidR="001632EB" w:rsidRDefault="001632EB" w:rsidP="001632EB">
      <w:pPr>
        <w:numPr>
          <w:ilvl w:val="0"/>
          <w:numId w:val="17"/>
        </w:numPr>
        <w:spacing w:after="0" w:line="360" w:lineRule="auto"/>
      </w:pPr>
      <w:r>
        <w:t>mellékhatás: hányinger, fényérzékenység, fertőzések elleni védekezés csökken</w:t>
      </w:r>
    </w:p>
    <w:p w:rsidR="001632EB" w:rsidRDefault="001632EB" w:rsidP="001632EB">
      <w:pPr>
        <w:spacing w:line="360" w:lineRule="auto"/>
      </w:pPr>
    </w:p>
    <w:p w:rsidR="001632EB" w:rsidRPr="00B550B4" w:rsidRDefault="001632EB" w:rsidP="001632EB">
      <w:pPr>
        <w:spacing w:line="360" w:lineRule="auto"/>
        <w:rPr>
          <w:b/>
        </w:rPr>
      </w:pPr>
      <w:r w:rsidRPr="00B550B4">
        <w:rPr>
          <w:b/>
        </w:rPr>
        <w:t>4. Biológiai terápia</w:t>
      </w:r>
    </w:p>
    <w:p w:rsidR="001632EB" w:rsidRDefault="001632EB" w:rsidP="001632EB">
      <w:pPr>
        <w:numPr>
          <w:ilvl w:val="0"/>
          <w:numId w:val="18"/>
        </w:numPr>
        <w:spacing w:after="0" w:line="360" w:lineRule="auto"/>
      </w:pPr>
      <w:proofErr w:type="spellStart"/>
      <w:r>
        <w:t>immuno-modulátor</w:t>
      </w:r>
      <w:proofErr w:type="spellEnd"/>
      <w:r>
        <w:t xml:space="preserve"> anyagok alkalmazásával érhető el. 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E33898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a</w:t>
      </w:r>
      <w:r w:rsidRPr="00E33898">
        <w:t>batecept</w:t>
      </w:r>
      <w:proofErr w:type="spellEnd"/>
      <w:r w:rsidRPr="00E33898">
        <w:t xml:space="preserve"> </w:t>
      </w:r>
      <w:r>
        <w:tab/>
        <w:t>ORANZIA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8"/>
        </w:numPr>
        <w:spacing w:after="0" w:line="360" w:lineRule="auto"/>
      </w:pPr>
      <w:r>
        <w:t xml:space="preserve">gátolja  a T-sejt aktivitását </w:t>
      </w:r>
      <w:r>
        <w:sym w:font="Symbol" w:char="F0AE"/>
      </w:r>
      <w:r>
        <w:t xml:space="preserve"> megakadályozódik a folyamat kialakulása </w:t>
      </w:r>
      <w:r>
        <w:sym w:font="Symbol" w:char="F0AE"/>
      </w:r>
      <w:r>
        <w:t xml:space="preserve"> csökken a fájdalom, javul a fizikai kondíció</w:t>
      </w:r>
    </w:p>
    <w:p w:rsidR="001632EB" w:rsidRDefault="001632EB" w:rsidP="001632EB">
      <w:pPr>
        <w:numPr>
          <w:ilvl w:val="0"/>
          <w:numId w:val="18"/>
        </w:numPr>
        <w:spacing w:after="0" w:line="360" w:lineRule="auto"/>
      </w:pPr>
      <w:r>
        <w:t xml:space="preserve">önmagában vagy kombinálva </w:t>
      </w:r>
      <w:proofErr w:type="spellStart"/>
      <w:r>
        <w:t>metatrexáttal</w:t>
      </w:r>
      <w:proofErr w:type="spellEnd"/>
      <w:r>
        <w:t xml:space="preserve"> alkalmazzák</w:t>
      </w:r>
    </w:p>
    <w:p w:rsidR="001632EB" w:rsidRDefault="001632EB" w:rsidP="001632EB">
      <w:pPr>
        <w:numPr>
          <w:ilvl w:val="0"/>
          <w:numId w:val="18"/>
        </w:numPr>
        <w:spacing w:after="0" w:line="360" w:lineRule="auto"/>
      </w:pPr>
      <w:r>
        <w:t>mellékhatás: felső légúti infekció</w:t>
      </w:r>
    </w:p>
    <w:p w:rsidR="001632EB" w:rsidRDefault="001632EB" w:rsidP="001632EB">
      <w:pPr>
        <w:spacing w:line="360" w:lineRule="auto"/>
      </w:pPr>
    </w:p>
    <w:p w:rsidR="001632EB" w:rsidRPr="00B550B4" w:rsidRDefault="001632EB" w:rsidP="001632EB">
      <w:pPr>
        <w:spacing w:line="360" w:lineRule="auto"/>
        <w:rPr>
          <w:b/>
        </w:rPr>
      </w:pPr>
      <w:r w:rsidRPr="00B550B4">
        <w:rPr>
          <w:b/>
        </w:rPr>
        <w:t xml:space="preserve">5. </w:t>
      </w:r>
      <w:proofErr w:type="spellStart"/>
      <w:r w:rsidRPr="00B550B4">
        <w:rPr>
          <w:b/>
        </w:rPr>
        <w:t>Monoklonális</w:t>
      </w:r>
      <w:proofErr w:type="spellEnd"/>
      <w:r w:rsidRPr="00B550B4">
        <w:rPr>
          <w:b/>
        </w:rPr>
        <w:t xml:space="preserve"> antitestek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E33898" w:rsidRDefault="001632EB" w:rsidP="001632EB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i</w:t>
      </w:r>
      <w:r w:rsidRPr="00E33898">
        <w:t>nfliximab</w:t>
      </w:r>
      <w:proofErr w:type="spellEnd"/>
      <w:r w:rsidRPr="00E33898">
        <w:t xml:space="preserve"> </w:t>
      </w:r>
      <w:r>
        <w:tab/>
      </w:r>
      <w:r w:rsidRPr="00E33898">
        <w:t>R</w:t>
      </w:r>
      <w:r>
        <w:t>EMICADE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19"/>
        </w:numPr>
        <w:spacing w:after="0" w:line="360" w:lineRule="auto"/>
      </w:pPr>
      <w:r>
        <w:t xml:space="preserve">injekció. A </w:t>
      </w:r>
      <w:proofErr w:type="spellStart"/>
      <w:r>
        <w:t>tumor-necrosis-faktorhoz</w:t>
      </w:r>
      <w:proofErr w:type="spellEnd"/>
      <w:r>
        <w:t xml:space="preserve"> kötődik </w:t>
      </w:r>
      <w:r>
        <w:sym w:font="Symbol" w:char="F0AE"/>
      </w:r>
      <w:r>
        <w:t xml:space="preserve"> ez a faktor a gyulladás indításában játszik szerepet </w:t>
      </w:r>
      <w:r>
        <w:sym w:font="Symbol" w:char="F0AE"/>
      </w:r>
      <w:r>
        <w:t xml:space="preserve"> a faktor megkötésével nem alakul ki a gyulladás </w:t>
      </w:r>
    </w:p>
    <w:p w:rsidR="001632EB" w:rsidRDefault="001632EB" w:rsidP="001632EB">
      <w:pPr>
        <w:numPr>
          <w:ilvl w:val="0"/>
          <w:numId w:val="19"/>
        </w:numPr>
        <w:spacing w:after="0" w:line="360" w:lineRule="auto"/>
      </w:pPr>
      <w:r>
        <w:t xml:space="preserve">ezt a gyógyszert </w:t>
      </w:r>
      <w:proofErr w:type="spellStart"/>
      <w:r>
        <w:t>colitis</w:t>
      </w:r>
      <w:proofErr w:type="spellEnd"/>
      <w:r>
        <w:t xml:space="preserve"> </w:t>
      </w:r>
      <w:proofErr w:type="spellStart"/>
      <w:r>
        <w:t>ulcerosa</w:t>
      </w:r>
      <w:proofErr w:type="spellEnd"/>
      <w:r>
        <w:t xml:space="preserve"> kezelésében is alkalmazzák</w:t>
      </w:r>
    </w:p>
    <w:p w:rsidR="001632EB" w:rsidRDefault="001632EB" w:rsidP="001632EB">
      <w:pPr>
        <w:numPr>
          <w:ilvl w:val="0"/>
          <w:numId w:val="19"/>
        </w:numPr>
        <w:spacing w:after="0" w:line="360" w:lineRule="auto"/>
      </w:pPr>
      <w:r>
        <w:t>mellékhatás: súlyos fertőzések</w:t>
      </w:r>
    </w:p>
    <w:p w:rsidR="001632EB" w:rsidRDefault="001632EB" w:rsidP="001632EB">
      <w:pPr>
        <w:spacing w:line="360" w:lineRule="auto"/>
        <w:rPr>
          <w:color w:val="0000FF"/>
        </w:rPr>
      </w:pPr>
    </w:p>
    <w:p w:rsidR="001632EB" w:rsidRPr="000A0E6D" w:rsidRDefault="001632EB" w:rsidP="001632EB">
      <w:pPr>
        <w:tabs>
          <w:tab w:val="left" w:pos="709"/>
          <w:tab w:val="left" w:pos="2694"/>
        </w:tabs>
        <w:spacing w:line="360" w:lineRule="auto"/>
      </w:pPr>
      <w:r w:rsidRPr="000A0E6D">
        <w:tab/>
      </w:r>
      <w:proofErr w:type="spellStart"/>
      <w:r>
        <w:t>c</w:t>
      </w:r>
      <w:r w:rsidRPr="000A0E6D">
        <w:t>ertolizomab</w:t>
      </w:r>
      <w:proofErr w:type="spellEnd"/>
      <w:r w:rsidRPr="000A0E6D">
        <w:t xml:space="preserve"> </w:t>
      </w:r>
      <w:r w:rsidRPr="000A0E6D">
        <w:tab/>
      </w:r>
      <w:r>
        <w:t>CINEZIA</w:t>
      </w:r>
    </w:p>
    <w:p w:rsidR="001632EB" w:rsidRDefault="001632EB" w:rsidP="001632EB">
      <w:pPr>
        <w:spacing w:line="360" w:lineRule="auto"/>
      </w:pPr>
    </w:p>
    <w:p w:rsidR="001632EB" w:rsidRDefault="001632EB" w:rsidP="001632EB">
      <w:pPr>
        <w:numPr>
          <w:ilvl w:val="0"/>
          <w:numId w:val="20"/>
        </w:numPr>
        <w:spacing w:after="0" w:line="360" w:lineRule="auto"/>
      </w:pPr>
      <w:r>
        <w:t>drága gyógyszer</w:t>
      </w:r>
    </w:p>
    <w:p w:rsidR="001632EB" w:rsidRDefault="001632EB" w:rsidP="001632EB">
      <w:pPr>
        <w:numPr>
          <w:ilvl w:val="0"/>
          <w:numId w:val="20"/>
        </w:numPr>
        <w:spacing w:after="0" w:line="360" w:lineRule="auto"/>
      </w:pPr>
      <w:r>
        <w:t>súlyos esetekben alkalmazzuk</w:t>
      </w:r>
    </w:p>
    <w:p w:rsidR="001632EB" w:rsidRPr="001632EB" w:rsidRDefault="001632EB" w:rsidP="001632EB">
      <w:pPr>
        <w:tabs>
          <w:tab w:val="left" w:pos="426"/>
          <w:tab w:val="left" w:pos="2127"/>
        </w:tabs>
        <w:spacing w:after="0"/>
        <w:rPr>
          <w:sz w:val="24"/>
          <w:szCs w:val="24"/>
        </w:rPr>
      </w:pPr>
    </w:p>
    <w:sectPr w:rsidR="001632EB" w:rsidRPr="001632EB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530D"/>
    <w:multiLevelType w:val="hybridMultilevel"/>
    <w:tmpl w:val="506240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E0D1D"/>
    <w:multiLevelType w:val="hybridMultilevel"/>
    <w:tmpl w:val="2C58A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37014"/>
    <w:multiLevelType w:val="hybridMultilevel"/>
    <w:tmpl w:val="4CB41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3B14"/>
    <w:multiLevelType w:val="hybridMultilevel"/>
    <w:tmpl w:val="8062C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9294B"/>
    <w:multiLevelType w:val="hybridMultilevel"/>
    <w:tmpl w:val="D15A1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D78AD"/>
    <w:multiLevelType w:val="hybridMultilevel"/>
    <w:tmpl w:val="DB76F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71D3E"/>
    <w:multiLevelType w:val="hybridMultilevel"/>
    <w:tmpl w:val="31F878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F730E"/>
    <w:multiLevelType w:val="hybridMultilevel"/>
    <w:tmpl w:val="816687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B01F8"/>
    <w:multiLevelType w:val="hybridMultilevel"/>
    <w:tmpl w:val="7CF2C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04708"/>
    <w:multiLevelType w:val="hybridMultilevel"/>
    <w:tmpl w:val="3DCE91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9241D"/>
    <w:multiLevelType w:val="hybridMultilevel"/>
    <w:tmpl w:val="2702F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8715F4"/>
    <w:multiLevelType w:val="hybridMultilevel"/>
    <w:tmpl w:val="A84AC4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042D0"/>
    <w:multiLevelType w:val="hybridMultilevel"/>
    <w:tmpl w:val="C0065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707E0"/>
    <w:multiLevelType w:val="hybridMultilevel"/>
    <w:tmpl w:val="8EA02A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D0669"/>
    <w:multiLevelType w:val="hybridMultilevel"/>
    <w:tmpl w:val="3B4432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6F262C"/>
    <w:multiLevelType w:val="hybridMultilevel"/>
    <w:tmpl w:val="CD3C0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B353D"/>
    <w:multiLevelType w:val="hybridMultilevel"/>
    <w:tmpl w:val="E4C62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9722C"/>
    <w:multiLevelType w:val="hybridMultilevel"/>
    <w:tmpl w:val="4132AF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D877D7"/>
    <w:multiLevelType w:val="hybridMultilevel"/>
    <w:tmpl w:val="CC6AA4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3781A"/>
    <w:multiLevelType w:val="hybridMultilevel"/>
    <w:tmpl w:val="B8067804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18"/>
  </w:num>
  <w:num w:numId="5">
    <w:abstractNumId w:val="3"/>
  </w:num>
  <w:num w:numId="6">
    <w:abstractNumId w:val="16"/>
  </w:num>
  <w:num w:numId="7">
    <w:abstractNumId w:val="17"/>
  </w:num>
  <w:num w:numId="8">
    <w:abstractNumId w:val="9"/>
  </w:num>
  <w:num w:numId="9">
    <w:abstractNumId w:val="12"/>
  </w:num>
  <w:num w:numId="10">
    <w:abstractNumId w:val="5"/>
  </w:num>
  <w:num w:numId="11">
    <w:abstractNumId w:val="13"/>
  </w:num>
  <w:num w:numId="12">
    <w:abstractNumId w:val="11"/>
  </w:num>
  <w:num w:numId="13">
    <w:abstractNumId w:val="0"/>
  </w:num>
  <w:num w:numId="14">
    <w:abstractNumId w:val="1"/>
  </w:num>
  <w:num w:numId="15">
    <w:abstractNumId w:val="6"/>
  </w:num>
  <w:num w:numId="16">
    <w:abstractNumId w:val="4"/>
  </w:num>
  <w:num w:numId="17">
    <w:abstractNumId w:val="2"/>
  </w:num>
  <w:num w:numId="18">
    <w:abstractNumId w:val="15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438A"/>
    <w:rsid w:val="00025095"/>
    <w:rsid w:val="00036E2C"/>
    <w:rsid w:val="00065D45"/>
    <w:rsid w:val="000776C4"/>
    <w:rsid w:val="00082880"/>
    <w:rsid w:val="00092954"/>
    <w:rsid w:val="000A5BCB"/>
    <w:rsid w:val="000B0130"/>
    <w:rsid w:val="000F7FEC"/>
    <w:rsid w:val="00121B4D"/>
    <w:rsid w:val="001466B9"/>
    <w:rsid w:val="00156C45"/>
    <w:rsid w:val="001632EB"/>
    <w:rsid w:val="001803BE"/>
    <w:rsid w:val="0018571A"/>
    <w:rsid w:val="00192B5E"/>
    <w:rsid w:val="001A39B8"/>
    <w:rsid w:val="001D4977"/>
    <w:rsid w:val="001E737A"/>
    <w:rsid w:val="001F4691"/>
    <w:rsid w:val="0020243A"/>
    <w:rsid w:val="00212F17"/>
    <w:rsid w:val="00225DCC"/>
    <w:rsid w:val="00236EA0"/>
    <w:rsid w:val="00255960"/>
    <w:rsid w:val="0027373F"/>
    <w:rsid w:val="002934A3"/>
    <w:rsid w:val="002955C3"/>
    <w:rsid w:val="0029750D"/>
    <w:rsid w:val="002C1335"/>
    <w:rsid w:val="002C6A1E"/>
    <w:rsid w:val="002D056C"/>
    <w:rsid w:val="002F42C9"/>
    <w:rsid w:val="00310E8B"/>
    <w:rsid w:val="00313393"/>
    <w:rsid w:val="003134DA"/>
    <w:rsid w:val="0032168F"/>
    <w:rsid w:val="00325A1D"/>
    <w:rsid w:val="00327C68"/>
    <w:rsid w:val="00344732"/>
    <w:rsid w:val="0034754E"/>
    <w:rsid w:val="003501C9"/>
    <w:rsid w:val="0035111C"/>
    <w:rsid w:val="003601EC"/>
    <w:rsid w:val="00364F17"/>
    <w:rsid w:val="00367032"/>
    <w:rsid w:val="00382E91"/>
    <w:rsid w:val="003A7679"/>
    <w:rsid w:val="003C3F4D"/>
    <w:rsid w:val="003D1500"/>
    <w:rsid w:val="004011D2"/>
    <w:rsid w:val="00473302"/>
    <w:rsid w:val="0049505F"/>
    <w:rsid w:val="004C0D82"/>
    <w:rsid w:val="004E0CB8"/>
    <w:rsid w:val="004E4037"/>
    <w:rsid w:val="004E6481"/>
    <w:rsid w:val="004F0B61"/>
    <w:rsid w:val="00507C98"/>
    <w:rsid w:val="005564EF"/>
    <w:rsid w:val="00572D2B"/>
    <w:rsid w:val="00596610"/>
    <w:rsid w:val="005B6BD2"/>
    <w:rsid w:val="0060464C"/>
    <w:rsid w:val="0060773D"/>
    <w:rsid w:val="006201F1"/>
    <w:rsid w:val="006212ED"/>
    <w:rsid w:val="00626FD0"/>
    <w:rsid w:val="0062712E"/>
    <w:rsid w:val="006275B4"/>
    <w:rsid w:val="006355AC"/>
    <w:rsid w:val="00673012"/>
    <w:rsid w:val="00680734"/>
    <w:rsid w:val="006A7374"/>
    <w:rsid w:val="006C3FAB"/>
    <w:rsid w:val="006D780E"/>
    <w:rsid w:val="006F0173"/>
    <w:rsid w:val="006F4449"/>
    <w:rsid w:val="0072341B"/>
    <w:rsid w:val="007260D5"/>
    <w:rsid w:val="00734C36"/>
    <w:rsid w:val="00743C81"/>
    <w:rsid w:val="00754169"/>
    <w:rsid w:val="00757E1E"/>
    <w:rsid w:val="00770116"/>
    <w:rsid w:val="007A72C8"/>
    <w:rsid w:val="007C1A01"/>
    <w:rsid w:val="007F2591"/>
    <w:rsid w:val="00820F42"/>
    <w:rsid w:val="00877CAB"/>
    <w:rsid w:val="00891507"/>
    <w:rsid w:val="008A64F1"/>
    <w:rsid w:val="008B0F80"/>
    <w:rsid w:val="008B670F"/>
    <w:rsid w:val="008C4C47"/>
    <w:rsid w:val="008C5820"/>
    <w:rsid w:val="00913E19"/>
    <w:rsid w:val="009146C7"/>
    <w:rsid w:val="009258D2"/>
    <w:rsid w:val="009501A8"/>
    <w:rsid w:val="00986224"/>
    <w:rsid w:val="009C53A9"/>
    <w:rsid w:val="009C5A3C"/>
    <w:rsid w:val="009D438A"/>
    <w:rsid w:val="009E6E6F"/>
    <w:rsid w:val="009F43AE"/>
    <w:rsid w:val="00A03D28"/>
    <w:rsid w:val="00A04620"/>
    <w:rsid w:val="00A10ABB"/>
    <w:rsid w:val="00A10D98"/>
    <w:rsid w:val="00A20CC2"/>
    <w:rsid w:val="00A64051"/>
    <w:rsid w:val="00A84D9E"/>
    <w:rsid w:val="00AF131C"/>
    <w:rsid w:val="00B10AB7"/>
    <w:rsid w:val="00B2270D"/>
    <w:rsid w:val="00B26CFD"/>
    <w:rsid w:val="00B53C62"/>
    <w:rsid w:val="00BE732C"/>
    <w:rsid w:val="00BF43CA"/>
    <w:rsid w:val="00C241CF"/>
    <w:rsid w:val="00C52AC5"/>
    <w:rsid w:val="00C65347"/>
    <w:rsid w:val="00C74187"/>
    <w:rsid w:val="00CA02C9"/>
    <w:rsid w:val="00CC6FF8"/>
    <w:rsid w:val="00D36ED9"/>
    <w:rsid w:val="00D54815"/>
    <w:rsid w:val="00DF7941"/>
    <w:rsid w:val="00E0693A"/>
    <w:rsid w:val="00E2711E"/>
    <w:rsid w:val="00E30640"/>
    <w:rsid w:val="00E31F6E"/>
    <w:rsid w:val="00E6421A"/>
    <w:rsid w:val="00E70C5F"/>
    <w:rsid w:val="00E72EEC"/>
    <w:rsid w:val="00E9315F"/>
    <w:rsid w:val="00E96457"/>
    <w:rsid w:val="00F07DBA"/>
    <w:rsid w:val="00F160D0"/>
    <w:rsid w:val="00F4076A"/>
    <w:rsid w:val="00F43DBB"/>
    <w:rsid w:val="00F74CDA"/>
    <w:rsid w:val="00FB41B2"/>
    <w:rsid w:val="00FD01B0"/>
    <w:rsid w:val="00FE1A68"/>
    <w:rsid w:val="00FE23F5"/>
    <w:rsid w:val="00FE3A53"/>
    <w:rsid w:val="00FE69F9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4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D438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63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3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1081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9</cp:revision>
  <dcterms:created xsi:type="dcterms:W3CDTF">2012-05-26T12:01:00Z</dcterms:created>
  <dcterms:modified xsi:type="dcterms:W3CDTF">2012-06-16T15:40:00Z</dcterms:modified>
</cp:coreProperties>
</file>